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296C6"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b/>
          <w:color w:val="000000"/>
          <w:sz w:val="22"/>
          <w:szCs w:val="22"/>
          <w:u w:color="000000"/>
        </w:rPr>
      </w:pPr>
      <w:r w:rsidRPr="002F0628">
        <w:rPr>
          <w:rFonts w:asciiTheme="minorHAnsi" w:eastAsia="Times New Roman" w:hAnsiTheme="minorHAnsi" w:cs="Times New Roman"/>
          <w:b/>
          <w:color w:val="000000"/>
          <w:sz w:val="22"/>
          <w:szCs w:val="22"/>
          <w:u w:color="000000"/>
        </w:rPr>
        <w:t>Wednesday May 28</w:t>
      </w:r>
      <w:r w:rsidRPr="002F0628">
        <w:rPr>
          <w:rFonts w:asciiTheme="minorHAnsi" w:eastAsia="Times New Roman" w:hAnsiTheme="minorHAnsi" w:cs="Times New Roman"/>
          <w:b/>
          <w:color w:val="000000"/>
          <w:sz w:val="22"/>
          <w:szCs w:val="22"/>
          <w:u w:color="000000"/>
          <w:vertAlign w:val="superscript"/>
        </w:rPr>
        <w:t>th</w:t>
      </w:r>
      <w:r w:rsidRPr="002F0628">
        <w:rPr>
          <w:rFonts w:asciiTheme="minorHAnsi" w:eastAsia="Times New Roman" w:hAnsiTheme="minorHAnsi" w:cs="Times New Roman"/>
          <w:b/>
          <w:color w:val="000000"/>
          <w:sz w:val="22"/>
          <w:szCs w:val="22"/>
          <w:u w:color="000000"/>
        </w:rPr>
        <w:t xml:space="preserve"> </w:t>
      </w:r>
    </w:p>
    <w:p w14:paraId="012F1229"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p>
    <w:p w14:paraId="05D85569"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r w:rsidRPr="002F0628">
        <w:rPr>
          <w:rFonts w:asciiTheme="minorHAnsi" w:eastAsia="Times New Roman" w:hAnsiTheme="minorHAnsi" w:cs="Times New Roman"/>
          <w:color w:val="000000"/>
          <w:sz w:val="22"/>
          <w:szCs w:val="22"/>
          <w:u w:color="000000"/>
        </w:rPr>
        <w:t>SESSION ONE: 10:45-12:15</w:t>
      </w:r>
    </w:p>
    <w:p w14:paraId="57515E8F"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r w:rsidRPr="002F0628">
        <w:rPr>
          <w:rFonts w:asciiTheme="minorHAnsi" w:eastAsia="Times New Roman" w:hAnsiTheme="minorHAnsi" w:cs="Times New Roman"/>
          <w:color w:val="000000"/>
          <w:sz w:val="22"/>
          <w:szCs w:val="22"/>
          <w:u w:color="000000"/>
        </w:rPr>
        <w:t>CORPUS INSCRIPTIONUM IUDAEAE/PALAESTINAE</w:t>
      </w:r>
    </w:p>
    <w:p w14:paraId="753A57D1" w14:textId="77777777" w:rsidR="00E1681C"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rPr>
        <w:t>Chair: Hannah Cotton, The Hebrew University</w:t>
      </w:r>
    </w:p>
    <w:p w14:paraId="769449FA" w14:textId="5A47DB38" w:rsidR="00FD50E5" w:rsidRPr="002F0628"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tl/>
        </w:rPr>
      </w:pPr>
      <w:proofErr w:type="gramStart"/>
      <w:r w:rsidRPr="002F0628">
        <w:rPr>
          <w:rFonts w:asciiTheme="minorHAnsi" w:hAnsiTheme="minorHAnsi"/>
          <w:color w:val="000000"/>
          <w:sz w:val="22"/>
          <w:szCs w:val="22"/>
        </w:rPr>
        <w:t>hannah.cotton@mail.huji.ac.il</w:t>
      </w:r>
      <w:proofErr w:type="gramEnd"/>
    </w:p>
    <w:p w14:paraId="31E6E758" w14:textId="77777777" w:rsidR="00FD50E5" w:rsidRPr="002F0628" w:rsidRDefault="00FD50E5"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0245E7A0" w14:textId="22AAB764"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Pr>
      </w:pPr>
      <w:proofErr w:type="gramStart"/>
      <w:r w:rsidRPr="002F0628">
        <w:rPr>
          <w:rFonts w:asciiTheme="minorHAnsi" w:hAnsiTheme="minorHAnsi"/>
          <w:b/>
          <w:bCs/>
          <w:color w:val="000000"/>
          <w:sz w:val="22"/>
          <w:szCs w:val="22"/>
        </w:rPr>
        <w:t xml:space="preserve">Brief </w:t>
      </w:r>
      <w:r w:rsidR="002F0628" w:rsidRPr="002F0628">
        <w:rPr>
          <w:rFonts w:asciiTheme="minorHAnsi" w:hAnsiTheme="minorHAnsi"/>
          <w:b/>
          <w:bCs/>
          <w:color w:val="000000"/>
          <w:sz w:val="22"/>
          <w:szCs w:val="22"/>
        </w:rPr>
        <w:t>I</w:t>
      </w:r>
      <w:r w:rsidRPr="002F0628">
        <w:rPr>
          <w:rFonts w:asciiTheme="minorHAnsi" w:hAnsiTheme="minorHAnsi"/>
          <w:b/>
          <w:bCs/>
          <w:color w:val="000000"/>
          <w:sz w:val="22"/>
          <w:szCs w:val="22"/>
        </w:rPr>
        <w:t>ntroduction to the CIIP.</w:t>
      </w:r>
      <w:proofErr w:type="gramEnd"/>
    </w:p>
    <w:p w14:paraId="4ED391A2" w14:textId="77777777" w:rsidR="00FD50E5" w:rsidRPr="002F0628" w:rsidRDefault="00FD50E5"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lang w:bidi="he-IL"/>
        </w:rPr>
      </w:pPr>
    </w:p>
    <w:p w14:paraId="2586C9A6"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6F413CEA" w14:textId="77777777" w:rsidR="00E1681C"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lang w:val="nl-NL"/>
        </w:rPr>
        <w:t xml:space="preserve">Walter </w:t>
      </w:r>
      <w:proofErr w:type="spellStart"/>
      <w:r w:rsidRPr="002F0628">
        <w:rPr>
          <w:rFonts w:asciiTheme="minorHAnsi" w:hAnsiTheme="minorHAnsi"/>
          <w:color w:val="000000"/>
          <w:sz w:val="22"/>
          <w:szCs w:val="22"/>
          <w:lang w:val="nl-NL"/>
        </w:rPr>
        <w:t>Ameling</w:t>
      </w:r>
      <w:proofErr w:type="spellEnd"/>
      <w:r w:rsidR="002F0628" w:rsidRPr="002F0628">
        <w:rPr>
          <w:rFonts w:asciiTheme="minorHAnsi" w:hAnsiTheme="minorHAnsi"/>
          <w:color w:val="000000"/>
          <w:sz w:val="22"/>
          <w:szCs w:val="22"/>
          <w:lang w:val="nl-NL"/>
        </w:rPr>
        <w:t xml:space="preserve"> (</w:t>
      </w:r>
      <w:r w:rsidR="002F0628" w:rsidRPr="002F0628">
        <w:rPr>
          <w:rFonts w:asciiTheme="minorHAnsi" w:hAnsiTheme="minorHAnsi"/>
          <w:color w:val="000000"/>
          <w:sz w:val="22"/>
          <w:szCs w:val="22"/>
        </w:rPr>
        <w:t>University of Kö</w:t>
      </w:r>
      <w:r w:rsidRPr="002F0628">
        <w:rPr>
          <w:rFonts w:asciiTheme="minorHAnsi" w:hAnsiTheme="minorHAnsi"/>
          <w:color w:val="000000"/>
          <w:sz w:val="22"/>
          <w:szCs w:val="22"/>
        </w:rPr>
        <w:t>ln</w:t>
      </w:r>
      <w:r w:rsidR="002F0628" w:rsidRPr="002F0628">
        <w:rPr>
          <w:rFonts w:asciiTheme="minorHAnsi" w:hAnsiTheme="minorHAnsi"/>
          <w:color w:val="000000"/>
          <w:sz w:val="22"/>
          <w:szCs w:val="22"/>
        </w:rPr>
        <w:t>)</w:t>
      </w:r>
    </w:p>
    <w:p w14:paraId="7F2EDC0B" w14:textId="34CAC4C9" w:rsidR="00A87817" w:rsidRPr="002F0628"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tl/>
        </w:rPr>
      </w:pPr>
      <w:r w:rsidRPr="002F0628">
        <w:rPr>
          <w:rFonts w:asciiTheme="minorHAnsi" w:hAnsiTheme="minorHAnsi"/>
          <w:color w:val="000000"/>
          <w:sz w:val="22"/>
          <w:szCs w:val="22"/>
          <w:lang w:val="nl-NL"/>
        </w:rPr>
        <w:t>walter.ameling@uni-koeln.de</w:t>
      </w:r>
    </w:p>
    <w:p w14:paraId="43BC998B"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
          <w:bCs/>
          <w:color w:val="000000"/>
          <w:sz w:val="22"/>
          <w:szCs w:val="22"/>
        </w:rPr>
      </w:pPr>
    </w:p>
    <w:p w14:paraId="355B339A" w14:textId="7EB93916"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Pr>
      </w:pPr>
      <w:r w:rsidRPr="002F0628">
        <w:rPr>
          <w:rFonts w:asciiTheme="minorHAnsi" w:hAnsiTheme="minorHAnsi"/>
          <w:b/>
          <w:bCs/>
          <w:color w:val="000000"/>
          <w:sz w:val="22"/>
          <w:szCs w:val="22"/>
        </w:rPr>
        <w:t xml:space="preserve">Greek </w:t>
      </w:r>
      <w:r w:rsidR="002F0628" w:rsidRPr="002F0628">
        <w:rPr>
          <w:rFonts w:asciiTheme="minorHAnsi" w:hAnsiTheme="minorHAnsi"/>
          <w:b/>
          <w:bCs/>
          <w:color w:val="000000"/>
          <w:sz w:val="22"/>
          <w:szCs w:val="22"/>
        </w:rPr>
        <w:t>L</w:t>
      </w:r>
      <w:r w:rsidRPr="002F0628">
        <w:rPr>
          <w:rFonts w:asciiTheme="minorHAnsi" w:hAnsiTheme="minorHAnsi"/>
          <w:b/>
          <w:bCs/>
          <w:color w:val="000000"/>
          <w:sz w:val="22"/>
          <w:szCs w:val="22"/>
        </w:rPr>
        <w:t xml:space="preserve">anguage in </w:t>
      </w:r>
      <w:proofErr w:type="spellStart"/>
      <w:r w:rsidRPr="002F0628">
        <w:rPr>
          <w:rFonts w:asciiTheme="minorHAnsi" w:hAnsiTheme="minorHAnsi"/>
          <w:b/>
          <w:bCs/>
          <w:color w:val="000000"/>
          <w:sz w:val="22"/>
          <w:szCs w:val="22"/>
        </w:rPr>
        <w:t>Palestina</w:t>
      </w:r>
      <w:proofErr w:type="spellEnd"/>
      <w:r w:rsidRPr="002F0628">
        <w:rPr>
          <w:rFonts w:asciiTheme="minorHAnsi" w:hAnsiTheme="minorHAnsi"/>
          <w:b/>
          <w:bCs/>
          <w:color w:val="000000"/>
          <w:sz w:val="22"/>
          <w:szCs w:val="22"/>
        </w:rPr>
        <w:t xml:space="preserve"> up to the </w:t>
      </w:r>
      <w:r w:rsidR="002F0628" w:rsidRPr="002F0628">
        <w:rPr>
          <w:rFonts w:asciiTheme="minorHAnsi" w:hAnsiTheme="minorHAnsi"/>
          <w:b/>
          <w:bCs/>
          <w:color w:val="000000"/>
          <w:sz w:val="22"/>
          <w:szCs w:val="22"/>
        </w:rPr>
        <w:t>T</w:t>
      </w:r>
      <w:r w:rsidRPr="002F0628">
        <w:rPr>
          <w:rFonts w:asciiTheme="minorHAnsi" w:hAnsiTheme="minorHAnsi"/>
          <w:b/>
          <w:bCs/>
          <w:color w:val="000000"/>
          <w:sz w:val="22"/>
          <w:szCs w:val="22"/>
        </w:rPr>
        <w:t xml:space="preserve">imes of Herod the </w:t>
      </w:r>
      <w:r w:rsidR="002F0628" w:rsidRPr="002F0628">
        <w:rPr>
          <w:rFonts w:asciiTheme="minorHAnsi" w:hAnsiTheme="minorHAnsi"/>
          <w:b/>
          <w:bCs/>
          <w:color w:val="000000"/>
          <w:sz w:val="22"/>
          <w:szCs w:val="22"/>
        </w:rPr>
        <w:t>G</w:t>
      </w:r>
      <w:r w:rsidRPr="002F0628">
        <w:rPr>
          <w:rFonts w:asciiTheme="minorHAnsi" w:hAnsiTheme="minorHAnsi"/>
          <w:b/>
          <w:bCs/>
          <w:color w:val="000000"/>
          <w:sz w:val="22"/>
          <w:szCs w:val="22"/>
        </w:rPr>
        <w:t>reat</w:t>
      </w:r>
    </w:p>
    <w:p w14:paraId="109A0C5C" w14:textId="636942A5" w:rsidR="00A87817" w:rsidRPr="002F0628" w:rsidRDefault="004862D3"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lang w:bidi="he-IL"/>
        </w:rPr>
      </w:pPr>
      <w:r w:rsidRPr="004862D3">
        <w:rPr>
          <w:rFonts w:asciiTheme="minorHAnsi" w:hAnsiTheme="minorHAnsi"/>
          <w:color w:val="000000"/>
          <w:sz w:val="22"/>
          <w:szCs w:val="22"/>
        </w:rPr>
        <w:t xml:space="preserve">Many languages were spoken in </w:t>
      </w:r>
      <w:proofErr w:type="spellStart"/>
      <w:r w:rsidRPr="004862D3">
        <w:rPr>
          <w:rFonts w:asciiTheme="minorHAnsi" w:hAnsiTheme="minorHAnsi"/>
          <w:color w:val="000000"/>
          <w:sz w:val="22"/>
          <w:szCs w:val="22"/>
        </w:rPr>
        <w:t>Iudaea</w:t>
      </w:r>
      <w:proofErr w:type="spellEnd"/>
      <w:r w:rsidRPr="004862D3">
        <w:rPr>
          <w:rFonts w:asciiTheme="minorHAnsi" w:hAnsiTheme="minorHAnsi"/>
          <w:color w:val="000000"/>
          <w:sz w:val="22"/>
          <w:szCs w:val="22"/>
        </w:rPr>
        <w:t>/</w:t>
      </w:r>
      <w:proofErr w:type="spellStart"/>
      <w:r w:rsidRPr="004862D3">
        <w:rPr>
          <w:rFonts w:asciiTheme="minorHAnsi" w:hAnsiTheme="minorHAnsi"/>
          <w:color w:val="000000"/>
          <w:sz w:val="22"/>
          <w:szCs w:val="22"/>
        </w:rPr>
        <w:t>Palaestina</w:t>
      </w:r>
      <w:proofErr w:type="spellEnd"/>
      <w:r w:rsidRPr="004862D3">
        <w:rPr>
          <w:rFonts w:asciiTheme="minorHAnsi" w:hAnsiTheme="minorHAnsi"/>
          <w:color w:val="000000"/>
          <w:sz w:val="22"/>
          <w:szCs w:val="22"/>
        </w:rPr>
        <w:t xml:space="preserve"> during antiquity. By late antiquity Greek had become the dominant language in </w:t>
      </w:r>
      <w:proofErr w:type="spellStart"/>
      <w:r w:rsidRPr="004862D3">
        <w:rPr>
          <w:rFonts w:asciiTheme="minorHAnsi" w:hAnsiTheme="minorHAnsi"/>
          <w:color w:val="000000"/>
          <w:sz w:val="22"/>
          <w:szCs w:val="22"/>
        </w:rPr>
        <w:t>Iudaea</w:t>
      </w:r>
      <w:proofErr w:type="spellEnd"/>
      <w:r w:rsidRPr="004862D3">
        <w:rPr>
          <w:rFonts w:asciiTheme="minorHAnsi" w:hAnsiTheme="minorHAnsi"/>
          <w:color w:val="000000"/>
          <w:sz w:val="22"/>
          <w:szCs w:val="22"/>
        </w:rPr>
        <w:t>/</w:t>
      </w:r>
      <w:proofErr w:type="spellStart"/>
      <w:r w:rsidRPr="004862D3">
        <w:rPr>
          <w:rFonts w:asciiTheme="minorHAnsi" w:hAnsiTheme="minorHAnsi"/>
          <w:color w:val="000000"/>
          <w:sz w:val="22"/>
          <w:szCs w:val="22"/>
        </w:rPr>
        <w:t>Palaestina</w:t>
      </w:r>
      <w:proofErr w:type="spellEnd"/>
      <w:r w:rsidRPr="004862D3">
        <w:rPr>
          <w:rFonts w:asciiTheme="minorHAnsi" w:hAnsiTheme="minorHAnsi"/>
          <w:color w:val="000000"/>
          <w:sz w:val="22"/>
          <w:szCs w:val="22"/>
        </w:rPr>
        <w:t xml:space="preserve">, even though it was not one of the indigenous languages. The Greek language arrived with the Hellenistic armies und bureaucracies, but became more than simply a language of power, which is indicated by the way it spread. But since there are almost no literary works in Greek from Hellenistic times, our most important tool to assess the process of the use and spread of Greek in Hellenistic </w:t>
      </w:r>
      <w:proofErr w:type="spellStart"/>
      <w:r w:rsidRPr="004862D3">
        <w:rPr>
          <w:rFonts w:asciiTheme="minorHAnsi" w:hAnsiTheme="minorHAnsi"/>
          <w:color w:val="000000"/>
          <w:sz w:val="22"/>
          <w:szCs w:val="22"/>
        </w:rPr>
        <w:t>Iudaea</w:t>
      </w:r>
      <w:proofErr w:type="spellEnd"/>
      <w:r w:rsidRPr="004862D3">
        <w:rPr>
          <w:rFonts w:asciiTheme="minorHAnsi" w:hAnsiTheme="minorHAnsi"/>
          <w:color w:val="000000"/>
          <w:sz w:val="22"/>
          <w:szCs w:val="22"/>
        </w:rPr>
        <w:t>/</w:t>
      </w:r>
      <w:proofErr w:type="spellStart"/>
      <w:r w:rsidRPr="004862D3">
        <w:rPr>
          <w:rFonts w:asciiTheme="minorHAnsi" w:hAnsiTheme="minorHAnsi"/>
          <w:color w:val="000000"/>
          <w:sz w:val="22"/>
          <w:szCs w:val="22"/>
        </w:rPr>
        <w:t>Palaestina</w:t>
      </w:r>
      <w:proofErr w:type="spellEnd"/>
      <w:r w:rsidRPr="004862D3">
        <w:rPr>
          <w:rFonts w:asciiTheme="minorHAnsi" w:hAnsiTheme="minorHAnsi"/>
          <w:color w:val="000000"/>
          <w:sz w:val="22"/>
          <w:szCs w:val="22"/>
        </w:rPr>
        <w:t xml:space="preserve"> is epigraphy, and to be more precise: the Corpus </w:t>
      </w:r>
      <w:proofErr w:type="spellStart"/>
      <w:r w:rsidRPr="004862D3">
        <w:rPr>
          <w:rFonts w:asciiTheme="minorHAnsi" w:hAnsiTheme="minorHAnsi"/>
          <w:color w:val="000000"/>
          <w:sz w:val="22"/>
          <w:szCs w:val="22"/>
        </w:rPr>
        <w:t>Inscriptionum</w:t>
      </w:r>
      <w:proofErr w:type="spellEnd"/>
      <w:r w:rsidRPr="004862D3">
        <w:rPr>
          <w:rFonts w:asciiTheme="minorHAnsi" w:hAnsiTheme="minorHAnsi"/>
          <w:color w:val="000000"/>
          <w:sz w:val="22"/>
          <w:szCs w:val="22"/>
        </w:rPr>
        <w:t xml:space="preserve"> </w:t>
      </w:r>
      <w:proofErr w:type="spellStart"/>
      <w:r w:rsidRPr="004862D3">
        <w:rPr>
          <w:rFonts w:asciiTheme="minorHAnsi" w:hAnsiTheme="minorHAnsi"/>
          <w:color w:val="000000"/>
          <w:sz w:val="22"/>
          <w:szCs w:val="22"/>
        </w:rPr>
        <w:t>Iudaeae</w:t>
      </w:r>
      <w:proofErr w:type="spellEnd"/>
      <w:r w:rsidRPr="004862D3">
        <w:rPr>
          <w:rFonts w:asciiTheme="minorHAnsi" w:hAnsiTheme="minorHAnsi"/>
          <w:color w:val="000000"/>
          <w:sz w:val="22"/>
          <w:szCs w:val="22"/>
        </w:rPr>
        <w:t xml:space="preserve"> </w:t>
      </w:r>
      <w:proofErr w:type="spellStart"/>
      <w:r w:rsidRPr="004862D3">
        <w:rPr>
          <w:rFonts w:asciiTheme="minorHAnsi" w:hAnsiTheme="minorHAnsi"/>
          <w:color w:val="000000"/>
          <w:sz w:val="22"/>
          <w:szCs w:val="22"/>
        </w:rPr>
        <w:t>Palaestinae</w:t>
      </w:r>
      <w:proofErr w:type="spellEnd"/>
      <w:r w:rsidRPr="004862D3">
        <w:rPr>
          <w:rFonts w:asciiTheme="minorHAnsi" w:hAnsiTheme="minorHAnsi"/>
          <w:color w:val="000000"/>
          <w:sz w:val="22"/>
          <w:szCs w:val="22"/>
        </w:rPr>
        <w:t>!</w:t>
      </w:r>
    </w:p>
    <w:p w14:paraId="00D8F1B4"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lang w:bidi="he-IL"/>
        </w:rPr>
      </w:pPr>
    </w:p>
    <w:p w14:paraId="71900571" w14:textId="77777777" w:rsidR="00E1681C"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rPr>
        <w:t>Benjamin Isaac: Tel Aviv University</w:t>
      </w:r>
    </w:p>
    <w:p w14:paraId="7EDD9144" w14:textId="3D2DAFB2" w:rsidR="00A87817" w:rsidRPr="002F0628"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tl/>
        </w:rPr>
      </w:pPr>
      <w:r w:rsidRPr="002F0628">
        <w:rPr>
          <w:rFonts w:asciiTheme="minorHAnsi" w:hAnsiTheme="minorHAnsi"/>
          <w:color w:val="000000"/>
          <w:sz w:val="22"/>
          <w:szCs w:val="22"/>
        </w:rPr>
        <w:t>isaacb@post.tau.ac.il</w:t>
      </w:r>
    </w:p>
    <w:p w14:paraId="151AE6B6"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
          <w:bCs/>
          <w:color w:val="000000"/>
          <w:sz w:val="22"/>
          <w:szCs w:val="22"/>
        </w:rPr>
      </w:pPr>
    </w:p>
    <w:p w14:paraId="44119FDF"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Pr>
      </w:pPr>
      <w:r w:rsidRPr="002F0628">
        <w:rPr>
          <w:rFonts w:asciiTheme="minorHAnsi" w:hAnsiTheme="minorHAnsi"/>
          <w:b/>
          <w:bCs/>
          <w:color w:val="000000"/>
          <w:sz w:val="22"/>
          <w:szCs w:val="22"/>
        </w:rPr>
        <w:t>Roman Roads, Physical Remains, Organization and Development</w:t>
      </w:r>
    </w:p>
    <w:p w14:paraId="6C393FCA" w14:textId="28333FC9" w:rsidR="00A87817" w:rsidRPr="002F0628" w:rsidRDefault="00DC737B"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lang w:bidi="he-IL"/>
        </w:rPr>
      </w:pPr>
      <w:r w:rsidRPr="00DC737B">
        <w:rPr>
          <w:rFonts w:asciiTheme="minorHAnsi" w:eastAsia="Palatino" w:hAnsiTheme="minorHAnsi" w:cs="Palatino"/>
          <w:color w:val="000000"/>
          <w:sz w:val="22"/>
          <w:szCs w:val="22"/>
          <w:lang w:bidi="he-IL"/>
        </w:rPr>
        <w:t>This paper will describe what historical and geographical information may be derived from the Roman milestones discovered in the Province of Judaea/</w:t>
      </w:r>
      <w:proofErr w:type="spellStart"/>
      <w:r w:rsidRPr="00DC737B">
        <w:rPr>
          <w:rFonts w:asciiTheme="minorHAnsi" w:eastAsia="Palatino" w:hAnsiTheme="minorHAnsi" w:cs="Palatino"/>
          <w:color w:val="000000"/>
          <w:sz w:val="22"/>
          <w:szCs w:val="22"/>
          <w:lang w:bidi="he-IL"/>
        </w:rPr>
        <w:t>Palaestina</w:t>
      </w:r>
      <w:proofErr w:type="spellEnd"/>
      <w:r w:rsidRPr="00DC737B">
        <w:rPr>
          <w:rFonts w:asciiTheme="minorHAnsi" w:eastAsia="Palatino" w:hAnsiTheme="minorHAnsi" w:cs="Palatino"/>
          <w:color w:val="000000"/>
          <w:sz w:val="22"/>
          <w:szCs w:val="22"/>
          <w:lang w:bidi="he-IL"/>
        </w:rPr>
        <w:t xml:space="preserve"> and describe various problems of interpretation.</w:t>
      </w:r>
    </w:p>
    <w:p w14:paraId="0A4A3A9E"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lang w:bidi="he-IL"/>
        </w:rPr>
      </w:pPr>
    </w:p>
    <w:p w14:paraId="4D322717" w14:textId="77777777" w:rsid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lang w:val="de-DE"/>
        </w:rPr>
        <w:t>Werner Eck</w:t>
      </w:r>
      <w:r w:rsidR="002F0628" w:rsidRPr="002F0628">
        <w:rPr>
          <w:rFonts w:asciiTheme="minorHAnsi" w:hAnsiTheme="minorHAnsi"/>
          <w:color w:val="000000"/>
          <w:sz w:val="22"/>
          <w:szCs w:val="22"/>
          <w:lang w:val="de-DE"/>
        </w:rPr>
        <w:t xml:space="preserve"> (</w:t>
      </w:r>
      <w:r w:rsidRPr="002F0628">
        <w:rPr>
          <w:rFonts w:asciiTheme="minorHAnsi" w:hAnsiTheme="minorHAnsi"/>
          <w:color w:val="000000"/>
          <w:sz w:val="22"/>
          <w:szCs w:val="22"/>
        </w:rPr>
        <w:t>University of K</w:t>
      </w:r>
      <w:r w:rsidR="002F0628" w:rsidRPr="002F0628">
        <w:rPr>
          <w:rFonts w:asciiTheme="minorHAnsi" w:hAnsiTheme="minorHAnsi"/>
          <w:color w:val="000000"/>
          <w:sz w:val="22"/>
          <w:szCs w:val="22"/>
        </w:rPr>
        <w:t>ö</w:t>
      </w:r>
      <w:r w:rsidRPr="002F0628">
        <w:rPr>
          <w:rFonts w:asciiTheme="minorHAnsi" w:hAnsiTheme="minorHAnsi"/>
          <w:color w:val="000000"/>
          <w:sz w:val="22"/>
          <w:szCs w:val="22"/>
        </w:rPr>
        <w:t>ln</w:t>
      </w:r>
      <w:r w:rsidR="002F0628" w:rsidRPr="002F0628">
        <w:rPr>
          <w:rFonts w:asciiTheme="minorHAnsi" w:hAnsiTheme="minorHAnsi"/>
          <w:color w:val="000000"/>
          <w:sz w:val="22"/>
          <w:szCs w:val="22"/>
        </w:rPr>
        <w:t>)</w:t>
      </w:r>
    </w:p>
    <w:p w14:paraId="12301440" w14:textId="181280A3"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tl/>
        </w:rPr>
      </w:pPr>
      <w:r w:rsidRPr="002F0628">
        <w:rPr>
          <w:rFonts w:asciiTheme="minorHAnsi" w:hAnsiTheme="minorHAnsi"/>
          <w:color w:val="000000"/>
          <w:sz w:val="22"/>
          <w:szCs w:val="22"/>
        </w:rPr>
        <w:t>Werner.eck@uni-koeln.de</w:t>
      </w:r>
    </w:p>
    <w:p w14:paraId="59859219"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
          <w:bCs/>
          <w:color w:val="000000"/>
          <w:sz w:val="22"/>
          <w:szCs w:val="22"/>
        </w:rPr>
      </w:pPr>
    </w:p>
    <w:p w14:paraId="7442A16B" w14:textId="62FCE752"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Pr>
      </w:pPr>
      <w:r w:rsidRPr="002F0628">
        <w:rPr>
          <w:rFonts w:asciiTheme="minorHAnsi" w:hAnsiTheme="minorHAnsi"/>
          <w:b/>
          <w:bCs/>
          <w:color w:val="000000"/>
          <w:sz w:val="22"/>
          <w:szCs w:val="22"/>
        </w:rPr>
        <w:t xml:space="preserve">Honorary Statues as </w:t>
      </w:r>
      <w:r w:rsidR="002F0628" w:rsidRPr="002F0628">
        <w:rPr>
          <w:rFonts w:asciiTheme="minorHAnsi" w:hAnsiTheme="minorHAnsi"/>
          <w:b/>
          <w:bCs/>
          <w:color w:val="000000"/>
          <w:sz w:val="22"/>
          <w:szCs w:val="22"/>
        </w:rPr>
        <w:t>M</w:t>
      </w:r>
      <w:r w:rsidRPr="002F0628">
        <w:rPr>
          <w:rFonts w:asciiTheme="minorHAnsi" w:hAnsiTheme="minorHAnsi"/>
          <w:b/>
          <w:bCs/>
          <w:color w:val="000000"/>
          <w:sz w:val="22"/>
          <w:szCs w:val="22"/>
        </w:rPr>
        <w:t xml:space="preserve">eans of </w:t>
      </w:r>
      <w:r w:rsidR="002F0628" w:rsidRPr="002F0628">
        <w:rPr>
          <w:rFonts w:asciiTheme="minorHAnsi" w:hAnsiTheme="minorHAnsi"/>
          <w:b/>
          <w:bCs/>
          <w:color w:val="000000"/>
          <w:sz w:val="22"/>
          <w:szCs w:val="22"/>
        </w:rPr>
        <w:t>P</w:t>
      </w:r>
      <w:r w:rsidRPr="002F0628">
        <w:rPr>
          <w:rFonts w:asciiTheme="minorHAnsi" w:hAnsiTheme="minorHAnsi"/>
          <w:b/>
          <w:bCs/>
          <w:color w:val="000000"/>
          <w:sz w:val="22"/>
          <w:szCs w:val="22"/>
        </w:rPr>
        <w:t xml:space="preserve">ublic </w:t>
      </w:r>
      <w:r w:rsidR="002F0628" w:rsidRPr="002F0628">
        <w:rPr>
          <w:rFonts w:asciiTheme="minorHAnsi" w:hAnsiTheme="minorHAnsi"/>
          <w:b/>
          <w:bCs/>
          <w:color w:val="000000"/>
          <w:sz w:val="22"/>
          <w:szCs w:val="22"/>
        </w:rPr>
        <w:t>C</w:t>
      </w:r>
      <w:r w:rsidRPr="002F0628">
        <w:rPr>
          <w:rFonts w:asciiTheme="minorHAnsi" w:hAnsiTheme="minorHAnsi"/>
          <w:b/>
          <w:bCs/>
          <w:color w:val="000000"/>
          <w:sz w:val="22"/>
          <w:szCs w:val="22"/>
        </w:rPr>
        <w:t>om</w:t>
      </w:r>
      <w:r w:rsidR="002F0628" w:rsidRPr="002F0628">
        <w:rPr>
          <w:rFonts w:asciiTheme="minorHAnsi" w:hAnsiTheme="minorHAnsi"/>
          <w:b/>
          <w:bCs/>
          <w:color w:val="000000"/>
          <w:sz w:val="22"/>
          <w:szCs w:val="22"/>
        </w:rPr>
        <w:t>m</w:t>
      </w:r>
      <w:r w:rsidRPr="002F0628">
        <w:rPr>
          <w:rFonts w:asciiTheme="minorHAnsi" w:hAnsiTheme="minorHAnsi"/>
          <w:b/>
          <w:bCs/>
          <w:color w:val="000000"/>
          <w:sz w:val="22"/>
          <w:szCs w:val="22"/>
        </w:rPr>
        <w:t xml:space="preserve">unication in the </w:t>
      </w:r>
      <w:r w:rsidR="002F0628" w:rsidRPr="002F0628">
        <w:rPr>
          <w:rFonts w:asciiTheme="minorHAnsi" w:hAnsiTheme="minorHAnsi"/>
          <w:b/>
          <w:bCs/>
          <w:color w:val="000000"/>
          <w:sz w:val="22"/>
          <w:szCs w:val="22"/>
        </w:rPr>
        <w:t>P</w:t>
      </w:r>
      <w:r w:rsidRPr="002F0628">
        <w:rPr>
          <w:rFonts w:asciiTheme="minorHAnsi" w:hAnsiTheme="minorHAnsi"/>
          <w:b/>
          <w:bCs/>
          <w:color w:val="000000"/>
          <w:sz w:val="22"/>
          <w:szCs w:val="22"/>
        </w:rPr>
        <w:t xml:space="preserve">rovince of </w:t>
      </w:r>
      <w:proofErr w:type="spellStart"/>
      <w:r w:rsidRPr="002F0628">
        <w:rPr>
          <w:rFonts w:asciiTheme="minorHAnsi" w:hAnsiTheme="minorHAnsi"/>
          <w:b/>
          <w:bCs/>
          <w:color w:val="000000"/>
          <w:sz w:val="22"/>
          <w:szCs w:val="22"/>
        </w:rPr>
        <w:t>Iudaea</w:t>
      </w:r>
      <w:proofErr w:type="spellEnd"/>
      <w:r w:rsidRPr="002F0628">
        <w:rPr>
          <w:rFonts w:asciiTheme="minorHAnsi" w:hAnsiTheme="minorHAnsi"/>
          <w:b/>
          <w:bCs/>
          <w:color w:val="000000"/>
          <w:sz w:val="22"/>
          <w:szCs w:val="22"/>
        </w:rPr>
        <w:t xml:space="preserve">/Syria </w:t>
      </w:r>
      <w:proofErr w:type="spellStart"/>
      <w:r w:rsidRPr="002F0628">
        <w:rPr>
          <w:rFonts w:asciiTheme="minorHAnsi" w:hAnsiTheme="minorHAnsi"/>
          <w:b/>
          <w:bCs/>
          <w:color w:val="000000"/>
          <w:sz w:val="22"/>
          <w:szCs w:val="22"/>
        </w:rPr>
        <w:t>Palaestina</w:t>
      </w:r>
      <w:proofErr w:type="spellEnd"/>
    </w:p>
    <w:p w14:paraId="3B378BFE" w14:textId="6EEE9D24"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Publicly displayed statues constituted an important element of Rome</w:t>
      </w:r>
      <w:r w:rsidRPr="002F0628">
        <w:rPr>
          <w:rFonts w:asciiTheme="minorHAnsi" w:hAnsiTheme="minorHAnsi"/>
          <w:color w:val="000000"/>
          <w:sz w:val="22"/>
          <w:szCs w:val="22"/>
          <w:lang w:val="fr-FR"/>
        </w:rPr>
        <w:t>’</w:t>
      </w:r>
      <w:r w:rsidRPr="002F0628">
        <w:rPr>
          <w:rFonts w:asciiTheme="minorHAnsi" w:hAnsiTheme="minorHAnsi"/>
          <w:color w:val="000000"/>
          <w:sz w:val="22"/>
          <w:szCs w:val="22"/>
        </w:rPr>
        <w:t>s presence in the life of a province. Until quite recently this form of communi</w:t>
      </w:r>
      <w:r w:rsidR="004862D3">
        <w:rPr>
          <w:rFonts w:asciiTheme="minorHAnsi" w:hAnsiTheme="minorHAnsi"/>
          <w:color w:val="000000"/>
          <w:sz w:val="22"/>
          <w:szCs w:val="22"/>
        </w:rPr>
        <w:t>cation has hardly been attested</w:t>
      </w:r>
      <w:r w:rsidRPr="002F0628">
        <w:rPr>
          <w:rFonts w:asciiTheme="minorHAnsi" w:hAnsiTheme="minorHAnsi"/>
          <w:color w:val="000000"/>
          <w:sz w:val="22"/>
          <w:szCs w:val="22"/>
        </w:rPr>
        <w:t xml:space="preserve"> in the province of </w:t>
      </w:r>
      <w:proofErr w:type="spellStart"/>
      <w:r w:rsidRPr="002F0628">
        <w:rPr>
          <w:rFonts w:asciiTheme="minorHAnsi" w:hAnsiTheme="minorHAnsi"/>
          <w:color w:val="000000"/>
          <w:sz w:val="22"/>
          <w:szCs w:val="22"/>
        </w:rPr>
        <w:t>Iudaea</w:t>
      </w:r>
      <w:proofErr w:type="spellEnd"/>
      <w:r w:rsidRPr="002F0628">
        <w:rPr>
          <w:rFonts w:asciiTheme="minorHAnsi" w:hAnsiTheme="minorHAnsi"/>
          <w:color w:val="000000"/>
          <w:sz w:val="22"/>
          <w:szCs w:val="22"/>
        </w:rPr>
        <w:t xml:space="preserve">/Syria </w:t>
      </w:r>
      <w:proofErr w:type="spellStart"/>
      <w:r w:rsidRPr="002F0628">
        <w:rPr>
          <w:rFonts w:asciiTheme="minorHAnsi" w:hAnsiTheme="minorHAnsi"/>
          <w:color w:val="000000"/>
          <w:sz w:val="22"/>
          <w:szCs w:val="22"/>
        </w:rPr>
        <w:t>Palaestina</w:t>
      </w:r>
      <w:proofErr w:type="spellEnd"/>
      <w:r w:rsidRPr="002F0628">
        <w:rPr>
          <w:rFonts w:asciiTheme="minorHAnsi" w:hAnsiTheme="minorHAnsi"/>
          <w:color w:val="000000"/>
          <w:sz w:val="22"/>
          <w:szCs w:val="22"/>
        </w:rPr>
        <w:t xml:space="preserve"> giving the impression that it was not practiced. However, large scale excavations in various regions in Israel</w:t>
      </w:r>
      <w:r w:rsidR="004862D3">
        <w:rPr>
          <w:rFonts w:asciiTheme="minorHAnsi" w:hAnsiTheme="minorHAnsi"/>
          <w:color w:val="000000"/>
          <w:sz w:val="22"/>
          <w:szCs w:val="22"/>
        </w:rPr>
        <w:t xml:space="preserve"> and the intensive “hunt” for </w:t>
      </w:r>
      <w:proofErr w:type="gramStart"/>
      <w:r w:rsidR="004862D3">
        <w:rPr>
          <w:rFonts w:asciiTheme="minorHAnsi" w:hAnsiTheme="minorHAnsi"/>
          <w:color w:val="000000"/>
          <w:sz w:val="22"/>
          <w:szCs w:val="22"/>
        </w:rPr>
        <w:t>i</w:t>
      </w:r>
      <w:r w:rsidRPr="002F0628">
        <w:rPr>
          <w:rFonts w:asciiTheme="minorHAnsi" w:hAnsiTheme="minorHAnsi"/>
          <w:color w:val="000000"/>
          <w:sz w:val="22"/>
          <w:szCs w:val="22"/>
        </w:rPr>
        <w:t>nscriptions  and</w:t>
      </w:r>
      <w:proofErr w:type="gramEnd"/>
      <w:r w:rsidRPr="002F0628">
        <w:rPr>
          <w:rFonts w:asciiTheme="minorHAnsi" w:hAnsiTheme="minorHAnsi"/>
          <w:color w:val="000000"/>
          <w:sz w:val="22"/>
          <w:szCs w:val="22"/>
        </w:rPr>
        <w:t xml:space="preserve"> their systematic collection carried out by the CIIP yielded a corrective: there is no doubt left that this form of public communication was widely practiced here as well. </w:t>
      </w:r>
      <w:proofErr w:type="gramStart"/>
      <w:r w:rsidRPr="002F0628">
        <w:rPr>
          <w:rFonts w:asciiTheme="minorHAnsi" w:hAnsiTheme="minorHAnsi"/>
          <w:color w:val="000000"/>
          <w:sz w:val="22"/>
          <w:szCs w:val="22"/>
        </w:rPr>
        <w:t>Where and by whom would be discussed in this paper.</w:t>
      </w:r>
      <w:proofErr w:type="gramEnd"/>
    </w:p>
    <w:p w14:paraId="5D026E81"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lang w:bidi="he-IL"/>
        </w:rPr>
      </w:pPr>
    </w:p>
    <w:p w14:paraId="415645E5"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lang w:bidi="he-IL"/>
        </w:rPr>
      </w:pPr>
    </w:p>
    <w:p w14:paraId="540E9998" w14:textId="77777777" w:rsidR="00E1681C"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rPr>
        <w:t>Jonathan Price</w:t>
      </w:r>
      <w:r w:rsidR="002F0628" w:rsidRPr="002F0628">
        <w:rPr>
          <w:rFonts w:asciiTheme="minorHAnsi" w:hAnsiTheme="minorHAnsi"/>
          <w:color w:val="000000"/>
          <w:sz w:val="22"/>
          <w:szCs w:val="22"/>
        </w:rPr>
        <w:t xml:space="preserve"> (</w:t>
      </w:r>
      <w:r w:rsidRPr="002F0628">
        <w:rPr>
          <w:rFonts w:asciiTheme="minorHAnsi" w:hAnsiTheme="minorHAnsi"/>
          <w:color w:val="000000"/>
          <w:sz w:val="22"/>
          <w:szCs w:val="22"/>
        </w:rPr>
        <w:t>Tel Aviv University</w:t>
      </w:r>
      <w:r w:rsidR="002F0628" w:rsidRPr="002F0628">
        <w:rPr>
          <w:rFonts w:asciiTheme="minorHAnsi" w:hAnsiTheme="minorHAnsi"/>
          <w:color w:val="000000"/>
          <w:sz w:val="22"/>
          <w:szCs w:val="22"/>
        </w:rPr>
        <w:t>)</w:t>
      </w:r>
    </w:p>
    <w:p w14:paraId="75B57FC3" w14:textId="4F274245" w:rsidR="00FD50E5" w:rsidRPr="002F0628" w:rsidRDefault="00A87817" w:rsidP="00E168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Times New Roman"/>
          <w:color w:val="000000"/>
          <w:sz w:val="22"/>
          <w:szCs w:val="22"/>
          <w:rtl/>
          <w:lang w:bidi="he-IL"/>
        </w:rPr>
      </w:pPr>
      <w:r w:rsidRPr="002F0628">
        <w:rPr>
          <w:rFonts w:asciiTheme="minorHAnsi" w:hAnsiTheme="minorHAnsi"/>
          <w:color w:val="000000"/>
          <w:sz w:val="22"/>
          <w:szCs w:val="22"/>
        </w:rPr>
        <w:t>price@post.tau.ac.i</w:t>
      </w:r>
      <w:r w:rsidRPr="002F0628">
        <w:rPr>
          <w:rFonts w:asciiTheme="minorHAnsi" w:hAnsiTheme="minorHAnsi" w:cs="Times New Roman"/>
          <w:color w:val="000000"/>
          <w:sz w:val="22"/>
          <w:szCs w:val="22"/>
          <w:lang w:bidi="he-IL"/>
        </w:rPr>
        <w:t>l</w:t>
      </w:r>
    </w:p>
    <w:p w14:paraId="4EF35CF1"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
          <w:bCs/>
          <w:color w:val="000000"/>
          <w:sz w:val="22"/>
          <w:szCs w:val="22"/>
        </w:rPr>
      </w:pPr>
    </w:p>
    <w:p w14:paraId="69416230" w14:textId="7752BF9F"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Pr>
      </w:pPr>
      <w:r w:rsidRPr="002F0628">
        <w:rPr>
          <w:rFonts w:asciiTheme="minorHAnsi" w:hAnsiTheme="minorHAnsi"/>
          <w:b/>
          <w:bCs/>
          <w:color w:val="000000"/>
          <w:sz w:val="22"/>
          <w:szCs w:val="22"/>
        </w:rPr>
        <w:t xml:space="preserve">Synagogue </w:t>
      </w:r>
      <w:r w:rsidR="002F0628" w:rsidRPr="002F0628">
        <w:rPr>
          <w:rFonts w:asciiTheme="minorHAnsi" w:hAnsiTheme="minorHAnsi"/>
          <w:b/>
          <w:bCs/>
          <w:color w:val="000000"/>
          <w:sz w:val="22"/>
          <w:szCs w:val="22"/>
        </w:rPr>
        <w:t>C</w:t>
      </w:r>
      <w:r w:rsidRPr="002F0628">
        <w:rPr>
          <w:rFonts w:asciiTheme="minorHAnsi" w:hAnsiTheme="minorHAnsi"/>
          <w:b/>
          <w:bCs/>
          <w:color w:val="000000"/>
          <w:sz w:val="22"/>
          <w:szCs w:val="22"/>
        </w:rPr>
        <w:t xml:space="preserve">ommunities in </w:t>
      </w:r>
      <w:proofErr w:type="spellStart"/>
      <w:r w:rsidRPr="002F0628">
        <w:rPr>
          <w:rFonts w:asciiTheme="minorHAnsi" w:hAnsiTheme="minorHAnsi"/>
          <w:b/>
          <w:bCs/>
          <w:color w:val="000000"/>
          <w:sz w:val="22"/>
          <w:szCs w:val="22"/>
        </w:rPr>
        <w:t>Iudaea</w:t>
      </w:r>
      <w:proofErr w:type="spellEnd"/>
      <w:r w:rsidRPr="002F0628">
        <w:rPr>
          <w:rFonts w:asciiTheme="minorHAnsi" w:hAnsiTheme="minorHAnsi"/>
          <w:b/>
          <w:bCs/>
          <w:color w:val="000000"/>
          <w:sz w:val="22"/>
          <w:szCs w:val="22"/>
        </w:rPr>
        <w:t xml:space="preserve">/ </w:t>
      </w:r>
      <w:proofErr w:type="spellStart"/>
      <w:r w:rsidRPr="002F0628">
        <w:rPr>
          <w:rFonts w:asciiTheme="minorHAnsi" w:hAnsiTheme="minorHAnsi"/>
          <w:b/>
          <w:bCs/>
          <w:color w:val="000000"/>
          <w:sz w:val="22"/>
          <w:szCs w:val="22"/>
        </w:rPr>
        <w:t>Palaestina</w:t>
      </w:r>
      <w:proofErr w:type="spellEnd"/>
      <w:r w:rsidRPr="002F0628">
        <w:rPr>
          <w:rFonts w:asciiTheme="minorHAnsi" w:hAnsiTheme="minorHAnsi"/>
          <w:b/>
          <w:bCs/>
          <w:color w:val="000000"/>
          <w:sz w:val="22"/>
          <w:szCs w:val="22"/>
        </w:rPr>
        <w:t xml:space="preserve">: The Evidence of the Inscriptions </w:t>
      </w:r>
    </w:p>
    <w:p w14:paraId="0C60C713"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rPr>
        <w:lastRenderedPageBreak/>
        <w:t>Who formed, built and funded synagogues in antiquity? How did those communities define themselves in ethnic and religious terms? What were the differences between the multiple synagogue communities in one city? Inscriptions provide information not contained in any other source, and the synagogue texts in the CIIP — the largest concentration of synagogue inscriptions from the ancient world — hint at especially interesting answers.</w:t>
      </w:r>
    </w:p>
    <w:p w14:paraId="77C1CC23"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60C1494F"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0F1A7046" w14:textId="77777777" w:rsidR="00113C4F" w:rsidRDefault="00113C4F"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p>
    <w:p w14:paraId="7226396F"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r w:rsidRPr="002F0628">
        <w:rPr>
          <w:rFonts w:asciiTheme="minorHAnsi" w:eastAsia="Times New Roman" w:hAnsiTheme="minorHAnsi" w:cs="Times New Roman"/>
          <w:color w:val="000000"/>
          <w:sz w:val="22"/>
          <w:szCs w:val="22"/>
          <w:u w:color="000000"/>
        </w:rPr>
        <w:t>SESSION TWO: POETICA 12:30-13:30</w:t>
      </w:r>
    </w:p>
    <w:p w14:paraId="3F763A15"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Times New Roman" w:hAnsiTheme="minorHAnsi" w:cs="Times New Roman"/>
          <w:color w:val="000000"/>
          <w:sz w:val="22"/>
          <w:szCs w:val="22"/>
          <w:u w:color="000000"/>
        </w:rPr>
      </w:pPr>
      <w:r w:rsidRPr="002F0628">
        <w:rPr>
          <w:rFonts w:asciiTheme="minorHAnsi" w:eastAsia="Times New Roman" w:hAnsiTheme="minorHAnsi" w:cs="Times New Roman"/>
          <w:color w:val="000000"/>
          <w:sz w:val="22"/>
          <w:szCs w:val="22"/>
          <w:u w:color="000000"/>
        </w:rPr>
        <w:t xml:space="preserve">Chair: Daniela </w:t>
      </w:r>
      <w:proofErr w:type="spellStart"/>
      <w:r w:rsidRPr="002F0628">
        <w:rPr>
          <w:rFonts w:asciiTheme="minorHAnsi" w:eastAsia="Times New Roman" w:hAnsiTheme="minorHAnsi" w:cs="Times New Roman"/>
          <w:color w:val="000000"/>
          <w:sz w:val="22"/>
          <w:szCs w:val="22"/>
          <w:u w:color="000000"/>
        </w:rPr>
        <w:t>Dueck</w:t>
      </w:r>
      <w:proofErr w:type="spellEnd"/>
      <w:r w:rsidRPr="002F0628">
        <w:rPr>
          <w:rFonts w:asciiTheme="minorHAnsi" w:eastAsia="Times New Roman" w:hAnsiTheme="minorHAnsi" w:cs="Times New Roman"/>
          <w:color w:val="000000"/>
          <w:sz w:val="22"/>
          <w:szCs w:val="22"/>
          <w:u w:color="000000"/>
        </w:rPr>
        <w:t xml:space="preserve"> (Bar-</w:t>
      </w:r>
      <w:proofErr w:type="spellStart"/>
      <w:r w:rsidRPr="002F0628">
        <w:rPr>
          <w:rFonts w:asciiTheme="minorHAnsi" w:eastAsia="Times New Roman" w:hAnsiTheme="minorHAnsi" w:cs="Times New Roman"/>
          <w:color w:val="000000"/>
          <w:sz w:val="22"/>
          <w:szCs w:val="22"/>
          <w:u w:color="000000"/>
        </w:rPr>
        <w:t>Ilan</w:t>
      </w:r>
      <w:proofErr w:type="spellEnd"/>
      <w:r w:rsidRPr="002F0628">
        <w:rPr>
          <w:rFonts w:asciiTheme="minorHAnsi" w:eastAsia="Times New Roman" w:hAnsiTheme="minorHAnsi" w:cs="Times New Roman"/>
          <w:color w:val="000000"/>
          <w:sz w:val="22"/>
          <w:szCs w:val="22"/>
          <w:u w:color="000000"/>
        </w:rPr>
        <w:t xml:space="preserve"> University)</w:t>
      </w:r>
    </w:p>
    <w:p w14:paraId="359EFAB1"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Times New Roman" w:hAnsiTheme="minorHAnsi" w:cs="Times New Roman"/>
          <w:color w:val="000000"/>
          <w:sz w:val="22"/>
          <w:szCs w:val="22"/>
          <w:u w:color="000000"/>
        </w:rPr>
      </w:pPr>
    </w:p>
    <w:p w14:paraId="4C891D55" w14:textId="395DB35D" w:rsidR="00A87817" w:rsidRPr="002F0628" w:rsidRDefault="00DD0D4A"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Pr>
          <w:rFonts w:asciiTheme="minorHAnsi" w:hAnsiTheme="minorHAnsi"/>
          <w:color w:val="000000"/>
          <w:sz w:val="22"/>
          <w:szCs w:val="22"/>
        </w:rPr>
        <w:t xml:space="preserve">Anna </w:t>
      </w:r>
      <w:proofErr w:type="spellStart"/>
      <w:r>
        <w:rPr>
          <w:rFonts w:asciiTheme="minorHAnsi" w:hAnsiTheme="minorHAnsi"/>
          <w:color w:val="000000"/>
          <w:sz w:val="22"/>
          <w:szCs w:val="22"/>
        </w:rPr>
        <w:t>Novokhatko</w:t>
      </w:r>
      <w:proofErr w:type="spellEnd"/>
      <w:r>
        <w:rPr>
          <w:rFonts w:asciiTheme="minorHAnsi" w:hAnsiTheme="minorHAnsi"/>
          <w:color w:val="000000"/>
          <w:sz w:val="22"/>
          <w:szCs w:val="22"/>
        </w:rPr>
        <w:t xml:space="preserve"> (</w:t>
      </w:r>
      <w:r w:rsidR="00A87817" w:rsidRPr="002F0628">
        <w:rPr>
          <w:rFonts w:asciiTheme="minorHAnsi" w:hAnsiTheme="minorHAnsi"/>
          <w:color w:val="000000"/>
          <w:sz w:val="22"/>
          <w:szCs w:val="22"/>
          <w:lang w:val="de-DE"/>
        </w:rPr>
        <w:t>Albert-Ludwigs-</w:t>
      </w:r>
      <w:proofErr w:type="spellStart"/>
      <w:r w:rsidR="00A87817" w:rsidRPr="002F0628">
        <w:rPr>
          <w:rFonts w:asciiTheme="minorHAnsi" w:hAnsiTheme="minorHAnsi"/>
          <w:color w:val="000000"/>
          <w:sz w:val="22"/>
          <w:szCs w:val="22"/>
          <w:lang w:val="de-DE"/>
        </w:rPr>
        <w:t>Universit</w:t>
      </w:r>
      <w:r>
        <w:rPr>
          <w:rFonts w:asciiTheme="minorHAnsi" w:hAnsiTheme="minorHAnsi"/>
          <w:color w:val="000000"/>
          <w:sz w:val="22"/>
          <w:szCs w:val="22"/>
        </w:rPr>
        <w:t>ät</w:t>
      </w:r>
      <w:proofErr w:type="spellEnd"/>
      <w:r>
        <w:rPr>
          <w:rFonts w:asciiTheme="minorHAnsi" w:hAnsiTheme="minorHAnsi"/>
          <w:color w:val="000000"/>
          <w:sz w:val="22"/>
          <w:szCs w:val="22"/>
        </w:rPr>
        <w:t>, Freiburg)</w:t>
      </w:r>
    </w:p>
    <w:p w14:paraId="67E3A8EE" w14:textId="77777777" w:rsidR="00113C4F" w:rsidRDefault="00A87817" w:rsidP="00113C4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roofErr w:type="gramStart"/>
      <w:r w:rsidRPr="002F0628">
        <w:rPr>
          <w:rFonts w:asciiTheme="minorHAnsi" w:hAnsiTheme="minorHAnsi"/>
          <w:color w:val="000000"/>
          <w:sz w:val="22"/>
          <w:szCs w:val="22"/>
        </w:rPr>
        <w:t>anna.novokhatko@altphil.uni</w:t>
      </w:r>
      <w:proofErr w:type="gramEnd"/>
      <w:r w:rsidRPr="002F0628">
        <w:rPr>
          <w:rFonts w:asciiTheme="minorHAnsi" w:hAnsiTheme="minorHAnsi"/>
          <w:color w:val="000000"/>
          <w:sz w:val="22"/>
          <w:szCs w:val="22"/>
        </w:rPr>
        <w:t>-freiburg.de</w:t>
      </w:r>
    </w:p>
    <w:p w14:paraId="27F36F2A" w14:textId="77777777" w:rsidR="00113C4F" w:rsidRDefault="00113C4F" w:rsidP="00113C4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
          <w:bCs/>
          <w:color w:val="000000"/>
          <w:sz w:val="22"/>
          <w:szCs w:val="22"/>
        </w:rPr>
      </w:pPr>
    </w:p>
    <w:p w14:paraId="3093CD8B" w14:textId="23D49764" w:rsidR="00A87817" w:rsidRPr="002F0628" w:rsidRDefault="00A87817" w:rsidP="00113C4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tl/>
        </w:rPr>
      </w:pPr>
      <w:r w:rsidRPr="002F0628">
        <w:rPr>
          <w:rFonts w:asciiTheme="minorHAnsi" w:hAnsiTheme="minorHAnsi"/>
          <w:b/>
          <w:bCs/>
          <w:color w:val="000000"/>
          <w:sz w:val="22"/>
          <w:szCs w:val="22"/>
        </w:rPr>
        <w:t xml:space="preserve">Literary </w:t>
      </w:r>
      <w:r w:rsidR="00DD0D4A">
        <w:rPr>
          <w:rFonts w:asciiTheme="minorHAnsi" w:hAnsiTheme="minorHAnsi"/>
          <w:b/>
          <w:bCs/>
          <w:color w:val="000000"/>
          <w:sz w:val="22"/>
          <w:szCs w:val="22"/>
        </w:rPr>
        <w:t>C</w:t>
      </w:r>
      <w:r w:rsidRPr="002F0628">
        <w:rPr>
          <w:rFonts w:asciiTheme="minorHAnsi" w:hAnsiTheme="minorHAnsi"/>
          <w:b/>
          <w:bCs/>
          <w:color w:val="000000"/>
          <w:sz w:val="22"/>
          <w:szCs w:val="22"/>
        </w:rPr>
        <w:t xml:space="preserve">riticism in </w:t>
      </w:r>
      <w:proofErr w:type="spellStart"/>
      <w:r w:rsidRPr="002F0628">
        <w:rPr>
          <w:rFonts w:asciiTheme="minorHAnsi" w:hAnsiTheme="minorHAnsi"/>
          <w:b/>
          <w:bCs/>
          <w:color w:val="000000"/>
          <w:sz w:val="22"/>
          <w:szCs w:val="22"/>
        </w:rPr>
        <w:t>Epicharmus</w:t>
      </w:r>
      <w:proofErr w:type="spellEnd"/>
      <w:r w:rsidRPr="002F0628">
        <w:rPr>
          <w:rFonts w:asciiTheme="minorHAnsi" w:hAnsiTheme="minorHAnsi"/>
          <w:b/>
          <w:bCs/>
          <w:color w:val="000000"/>
          <w:sz w:val="22"/>
          <w:szCs w:val="22"/>
          <w:lang w:val="fr-FR"/>
        </w:rPr>
        <w:t xml:space="preserve">’ </w:t>
      </w:r>
      <w:r w:rsidR="00DD0D4A">
        <w:rPr>
          <w:rFonts w:asciiTheme="minorHAnsi" w:hAnsiTheme="minorHAnsi"/>
          <w:b/>
          <w:bCs/>
          <w:color w:val="000000"/>
          <w:sz w:val="22"/>
          <w:szCs w:val="22"/>
          <w:lang w:val="it-IT"/>
        </w:rPr>
        <w:t>C</w:t>
      </w:r>
      <w:r w:rsidRPr="002F0628">
        <w:rPr>
          <w:rFonts w:asciiTheme="minorHAnsi" w:hAnsiTheme="minorHAnsi"/>
          <w:b/>
          <w:bCs/>
          <w:color w:val="000000"/>
          <w:sz w:val="22"/>
          <w:szCs w:val="22"/>
          <w:lang w:val="it-IT"/>
        </w:rPr>
        <w:t>omedy</w:t>
      </w:r>
    </w:p>
    <w:p w14:paraId="31410E03"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Sicilian comedy actively used the discourses of rhetoric and literary criticism. Further it provides information on these discourses during a period when they were being formed, and so represents a moment of intense interactive dialogue between literary genres. The present paper will discuss some fragments of </w:t>
      </w:r>
      <w:proofErr w:type="spellStart"/>
      <w:r w:rsidRPr="002F0628">
        <w:rPr>
          <w:rFonts w:asciiTheme="minorHAnsi" w:hAnsiTheme="minorHAnsi"/>
          <w:color w:val="000000"/>
          <w:sz w:val="22"/>
          <w:szCs w:val="22"/>
        </w:rPr>
        <w:t>Epicharmus</w:t>
      </w:r>
      <w:proofErr w:type="spellEnd"/>
      <w:r w:rsidRPr="002F0628">
        <w:rPr>
          <w:rFonts w:asciiTheme="minorHAnsi" w:hAnsiTheme="minorHAnsi"/>
          <w:color w:val="000000"/>
          <w:sz w:val="22"/>
          <w:szCs w:val="22"/>
        </w:rPr>
        <w:t xml:space="preserve">. These show that intellectual exertion, linguistic innovation and the study of rhetoric were at the </w:t>
      </w:r>
      <w:proofErr w:type="spellStart"/>
      <w:r w:rsidRPr="002F0628">
        <w:rPr>
          <w:rFonts w:asciiTheme="minorHAnsi" w:hAnsiTheme="minorHAnsi"/>
          <w:color w:val="000000"/>
          <w:sz w:val="22"/>
          <w:szCs w:val="22"/>
        </w:rPr>
        <w:t>centre</w:t>
      </w:r>
      <w:proofErr w:type="spellEnd"/>
      <w:r w:rsidRPr="002F0628">
        <w:rPr>
          <w:rFonts w:asciiTheme="minorHAnsi" w:hAnsiTheme="minorHAnsi"/>
          <w:color w:val="000000"/>
          <w:sz w:val="22"/>
          <w:szCs w:val="22"/>
        </w:rPr>
        <w:t xml:space="preserve"> of his attention.</w:t>
      </w:r>
    </w:p>
    <w:p w14:paraId="27C34BA1"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In the first part of the paper a number of fragments (136, 144, 145, 146, and 147 (PCG) and two fragments 76 and 77 (PCG) belonging to the comedy Logos </w:t>
      </w:r>
      <w:proofErr w:type="spellStart"/>
      <w:r w:rsidRPr="002F0628">
        <w:rPr>
          <w:rFonts w:asciiTheme="minorHAnsi" w:hAnsiTheme="minorHAnsi"/>
          <w:color w:val="000000"/>
          <w:sz w:val="22"/>
          <w:szCs w:val="22"/>
        </w:rPr>
        <w:t>kai</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Logina</w:t>
      </w:r>
      <w:proofErr w:type="spellEnd"/>
      <w:r w:rsidRPr="002F0628">
        <w:rPr>
          <w:rFonts w:asciiTheme="minorHAnsi" w:hAnsiTheme="minorHAnsi"/>
          <w:color w:val="000000"/>
          <w:sz w:val="22"/>
          <w:szCs w:val="22"/>
        </w:rPr>
        <w:t xml:space="preserve">) will serve as an entry point for a discussion of the </w:t>
      </w:r>
      <w:proofErr w:type="spellStart"/>
      <w:r w:rsidRPr="002F0628">
        <w:rPr>
          <w:rFonts w:asciiTheme="minorHAnsi" w:hAnsiTheme="minorHAnsi"/>
          <w:color w:val="000000"/>
          <w:sz w:val="22"/>
          <w:szCs w:val="22"/>
        </w:rPr>
        <w:t>metalinguistical</w:t>
      </w:r>
      <w:proofErr w:type="spellEnd"/>
      <w:r w:rsidRPr="002F0628">
        <w:rPr>
          <w:rFonts w:asciiTheme="minorHAnsi" w:hAnsiTheme="minorHAnsi"/>
          <w:color w:val="000000"/>
          <w:sz w:val="22"/>
          <w:szCs w:val="22"/>
        </w:rPr>
        <w:t xml:space="preserve"> and </w:t>
      </w:r>
      <w:proofErr w:type="spellStart"/>
      <w:r w:rsidRPr="002F0628">
        <w:rPr>
          <w:rFonts w:asciiTheme="minorHAnsi" w:hAnsiTheme="minorHAnsi"/>
          <w:color w:val="000000"/>
          <w:sz w:val="22"/>
          <w:szCs w:val="22"/>
        </w:rPr>
        <w:t>metapoetical</w:t>
      </w:r>
      <w:proofErr w:type="spellEnd"/>
      <w:r w:rsidRPr="002F0628">
        <w:rPr>
          <w:rFonts w:asciiTheme="minorHAnsi" w:hAnsiTheme="minorHAnsi"/>
          <w:color w:val="000000"/>
          <w:sz w:val="22"/>
          <w:szCs w:val="22"/>
        </w:rPr>
        <w:t xml:space="preserve"> connotations found in his comedy. His use of the literary criticism, of early linguistic theories of rhetoric, and of their function and contribution to the genre of comedy will be </w:t>
      </w:r>
      <w:proofErr w:type="spellStart"/>
      <w:r w:rsidRPr="002F0628">
        <w:rPr>
          <w:rFonts w:asciiTheme="minorHAnsi" w:hAnsiTheme="minorHAnsi"/>
          <w:color w:val="000000"/>
          <w:sz w:val="22"/>
          <w:szCs w:val="22"/>
        </w:rPr>
        <w:t>analysed</w:t>
      </w:r>
      <w:proofErr w:type="spellEnd"/>
      <w:r w:rsidRPr="002F0628">
        <w:rPr>
          <w:rFonts w:asciiTheme="minorHAnsi" w:hAnsiTheme="minorHAnsi"/>
          <w:color w:val="000000"/>
          <w:sz w:val="22"/>
          <w:szCs w:val="22"/>
        </w:rPr>
        <w:t xml:space="preserve"> on syntagmatic level.</w:t>
      </w:r>
    </w:p>
    <w:p w14:paraId="0A391E5B"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In the second half of the paper, the focus will be on </w:t>
      </w:r>
      <w:proofErr w:type="spellStart"/>
      <w:r w:rsidRPr="002F0628">
        <w:rPr>
          <w:rFonts w:asciiTheme="minorHAnsi" w:hAnsiTheme="minorHAnsi"/>
          <w:color w:val="000000"/>
          <w:sz w:val="22"/>
          <w:szCs w:val="22"/>
        </w:rPr>
        <w:t>testimonia</w:t>
      </w:r>
      <w:proofErr w:type="spellEnd"/>
      <w:r w:rsidRPr="002F0628">
        <w:rPr>
          <w:rFonts w:asciiTheme="minorHAnsi" w:hAnsiTheme="minorHAnsi"/>
          <w:color w:val="000000"/>
          <w:sz w:val="22"/>
          <w:szCs w:val="22"/>
        </w:rPr>
        <w:t xml:space="preserve"> and on the context of </w:t>
      </w:r>
      <w:proofErr w:type="gramStart"/>
      <w:r w:rsidRPr="002F0628">
        <w:rPr>
          <w:rFonts w:asciiTheme="minorHAnsi" w:hAnsiTheme="minorHAnsi"/>
          <w:color w:val="000000"/>
          <w:sz w:val="22"/>
          <w:szCs w:val="22"/>
        </w:rPr>
        <w:t>in which</w:t>
      </w:r>
      <w:proofErr w:type="gramEnd"/>
      <w:r w:rsidRPr="002F0628">
        <w:rPr>
          <w:rFonts w:asciiTheme="minorHAnsi" w:hAnsiTheme="minorHAnsi"/>
          <w:color w:val="000000"/>
          <w:sz w:val="22"/>
          <w:szCs w:val="22"/>
        </w:rPr>
        <w:t xml:space="preserve"> these fragments are quoted. Attention will therefore shift to the reception of these plays in the </w:t>
      </w:r>
      <w:proofErr w:type="spellStart"/>
      <w:r w:rsidRPr="002F0628">
        <w:rPr>
          <w:rFonts w:asciiTheme="minorHAnsi" w:hAnsiTheme="minorHAnsi"/>
          <w:color w:val="000000"/>
          <w:sz w:val="22"/>
          <w:szCs w:val="22"/>
        </w:rPr>
        <w:t>scholia</w:t>
      </w:r>
      <w:proofErr w:type="spellEnd"/>
      <w:r w:rsidRPr="002F0628">
        <w:rPr>
          <w:rFonts w:asciiTheme="minorHAnsi" w:hAnsiTheme="minorHAnsi"/>
          <w:color w:val="000000"/>
          <w:sz w:val="22"/>
          <w:szCs w:val="22"/>
        </w:rPr>
        <w:t xml:space="preserve"> starting from Aristotle and working through to Hellenistic and Late antiquity, as also in the compilers and grammarians such as Demetrius, Plutarch, </w:t>
      </w:r>
      <w:proofErr w:type="spellStart"/>
      <w:r w:rsidRPr="002F0628">
        <w:rPr>
          <w:rFonts w:asciiTheme="minorHAnsi" w:hAnsiTheme="minorHAnsi"/>
          <w:color w:val="000000"/>
          <w:sz w:val="22"/>
          <w:szCs w:val="22"/>
        </w:rPr>
        <w:t>Hephaistion</w:t>
      </w:r>
      <w:proofErr w:type="spellEnd"/>
      <w:r w:rsidRPr="002F0628">
        <w:rPr>
          <w:rFonts w:asciiTheme="minorHAnsi" w:hAnsiTheme="minorHAnsi"/>
          <w:color w:val="000000"/>
          <w:sz w:val="22"/>
          <w:szCs w:val="22"/>
        </w:rPr>
        <w:t xml:space="preserve"> and </w:t>
      </w:r>
      <w:proofErr w:type="spellStart"/>
      <w:r w:rsidRPr="002F0628">
        <w:rPr>
          <w:rFonts w:asciiTheme="minorHAnsi" w:hAnsiTheme="minorHAnsi"/>
          <w:color w:val="000000"/>
          <w:sz w:val="22"/>
          <w:szCs w:val="22"/>
        </w:rPr>
        <w:t>Athenaeus</w:t>
      </w:r>
      <w:proofErr w:type="spellEnd"/>
      <w:r w:rsidRPr="002F0628">
        <w:rPr>
          <w:rFonts w:asciiTheme="minorHAnsi" w:hAnsiTheme="minorHAnsi"/>
          <w:color w:val="000000"/>
          <w:sz w:val="22"/>
          <w:szCs w:val="22"/>
        </w:rPr>
        <w:t>. The technical vocabulary and referential context employed in the genre of comedy constitute a significant contribution to a fuller understanding of the reception of drama on a paradigmatic level. This approach allows for a reinterpretation of the broader meanings of the metalinguistic discourses as a whole.</w:t>
      </w:r>
    </w:p>
    <w:p w14:paraId="4C4E4BBF"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  </w:t>
      </w:r>
    </w:p>
    <w:p w14:paraId="72BCAB2F"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roofErr w:type="spellStart"/>
      <w:r w:rsidRPr="002F0628">
        <w:rPr>
          <w:rFonts w:asciiTheme="minorHAnsi" w:hAnsiTheme="minorHAnsi"/>
          <w:color w:val="000000"/>
          <w:sz w:val="22"/>
          <w:szCs w:val="22"/>
          <w:lang w:val="fr-FR"/>
        </w:rPr>
        <w:t>Bibliography</w:t>
      </w:r>
      <w:proofErr w:type="spellEnd"/>
      <w:r w:rsidRPr="002F0628">
        <w:rPr>
          <w:rFonts w:asciiTheme="minorHAnsi" w:hAnsiTheme="minorHAnsi"/>
          <w:color w:val="000000"/>
          <w:sz w:val="22"/>
          <w:szCs w:val="22"/>
          <w:lang w:val="fr-FR"/>
        </w:rPr>
        <w:t>:</w:t>
      </w:r>
    </w:p>
    <w:p w14:paraId="4B00313F" w14:textId="2845545F"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DD0D4A">
        <w:rPr>
          <w:rFonts w:asciiTheme="minorHAnsi" w:hAnsiTheme="minorHAnsi"/>
          <w:color w:val="000000"/>
          <w:sz w:val="16"/>
          <w:szCs w:val="22"/>
        </w:rPr>
        <w:t xml:space="preserve">PCG = R. Kassel, C. Austin (ed.), </w:t>
      </w:r>
      <w:proofErr w:type="spellStart"/>
      <w:r w:rsidRPr="00DD0D4A">
        <w:rPr>
          <w:rFonts w:asciiTheme="minorHAnsi" w:hAnsiTheme="minorHAnsi"/>
          <w:i/>
          <w:iCs/>
          <w:color w:val="000000"/>
          <w:sz w:val="16"/>
          <w:szCs w:val="22"/>
          <w:lang w:val="nl-NL"/>
        </w:rPr>
        <w:t>Poetae</w:t>
      </w:r>
      <w:proofErr w:type="spellEnd"/>
      <w:r w:rsidRPr="00DD0D4A">
        <w:rPr>
          <w:rFonts w:asciiTheme="minorHAnsi" w:hAnsiTheme="minorHAnsi"/>
          <w:i/>
          <w:iCs/>
          <w:color w:val="000000"/>
          <w:sz w:val="16"/>
          <w:szCs w:val="22"/>
          <w:lang w:val="nl-NL"/>
        </w:rPr>
        <w:t xml:space="preserve"> Comici Graeci</w:t>
      </w:r>
      <w:r w:rsidRPr="00DD0D4A">
        <w:rPr>
          <w:rFonts w:asciiTheme="minorHAnsi" w:hAnsiTheme="minorHAnsi"/>
          <w:color w:val="000000"/>
          <w:sz w:val="16"/>
          <w:szCs w:val="22"/>
        </w:rPr>
        <w:t>. Berlin - New York 1983ff.</w:t>
      </w:r>
    </w:p>
    <w:p w14:paraId="616E0B70"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rPr>
        <w:t>Arnson</w:t>
      </w:r>
      <w:proofErr w:type="spellEnd"/>
      <w:r w:rsidRPr="00DD0D4A">
        <w:rPr>
          <w:rFonts w:asciiTheme="minorHAnsi" w:hAnsiTheme="minorHAnsi"/>
          <w:color w:val="000000"/>
          <w:sz w:val="16"/>
          <w:szCs w:val="22"/>
        </w:rPr>
        <w:t xml:space="preserve"> </w:t>
      </w:r>
      <w:proofErr w:type="spellStart"/>
      <w:r w:rsidRPr="00DD0D4A">
        <w:rPr>
          <w:rFonts w:asciiTheme="minorHAnsi" w:hAnsiTheme="minorHAnsi"/>
          <w:color w:val="000000"/>
          <w:sz w:val="16"/>
          <w:szCs w:val="22"/>
        </w:rPr>
        <w:t>Svarlien</w:t>
      </w:r>
      <w:proofErr w:type="spellEnd"/>
      <w:r w:rsidRPr="00DD0D4A">
        <w:rPr>
          <w:rFonts w:asciiTheme="minorHAnsi" w:hAnsiTheme="minorHAnsi"/>
          <w:color w:val="000000"/>
          <w:sz w:val="16"/>
          <w:szCs w:val="22"/>
        </w:rPr>
        <w:t xml:space="preserve">, D. 1990. </w:t>
      </w:r>
      <w:proofErr w:type="gramStart"/>
      <w:r w:rsidRPr="00DD0D4A">
        <w:rPr>
          <w:rFonts w:asciiTheme="minorHAnsi" w:hAnsiTheme="minorHAnsi"/>
          <w:color w:val="000000"/>
          <w:sz w:val="16"/>
          <w:szCs w:val="22"/>
        </w:rPr>
        <w:t>„</w:t>
      </w:r>
      <w:proofErr w:type="spellStart"/>
      <w:r w:rsidRPr="00DD0D4A">
        <w:rPr>
          <w:rFonts w:asciiTheme="minorHAnsi" w:hAnsiTheme="minorHAnsi"/>
          <w:color w:val="000000"/>
          <w:sz w:val="16"/>
          <w:szCs w:val="22"/>
          <w:lang w:val="da-DK"/>
        </w:rPr>
        <w:t>Epicharmus</w:t>
      </w:r>
      <w:proofErr w:type="spellEnd"/>
      <w:r w:rsidRPr="00DD0D4A">
        <w:rPr>
          <w:rFonts w:asciiTheme="minorHAnsi" w:hAnsiTheme="minorHAnsi"/>
          <w:color w:val="000000"/>
          <w:sz w:val="16"/>
          <w:szCs w:val="22"/>
          <w:lang w:val="da-DK"/>
        </w:rPr>
        <w:t xml:space="preserve"> and </w:t>
      </w:r>
      <w:proofErr w:type="spellStart"/>
      <w:r w:rsidRPr="00DD0D4A">
        <w:rPr>
          <w:rFonts w:asciiTheme="minorHAnsi" w:hAnsiTheme="minorHAnsi"/>
          <w:color w:val="000000"/>
          <w:sz w:val="16"/>
          <w:szCs w:val="22"/>
          <w:lang w:val="da-DK"/>
        </w:rPr>
        <w:t>Pindar</w:t>
      </w:r>
      <w:proofErr w:type="spellEnd"/>
      <w:r w:rsidRPr="00DD0D4A">
        <w:rPr>
          <w:rFonts w:asciiTheme="minorHAnsi" w:hAnsiTheme="minorHAnsi"/>
          <w:color w:val="000000"/>
          <w:sz w:val="16"/>
          <w:szCs w:val="22"/>
          <w:lang w:val="da-DK"/>
        </w:rPr>
        <w:t xml:space="preserve"> at </w:t>
      </w:r>
      <w:proofErr w:type="spellStart"/>
      <w:r w:rsidRPr="00DD0D4A">
        <w:rPr>
          <w:rFonts w:asciiTheme="minorHAnsi" w:hAnsiTheme="minorHAnsi"/>
          <w:color w:val="000000"/>
          <w:sz w:val="16"/>
          <w:szCs w:val="22"/>
          <w:lang w:val="da-DK"/>
        </w:rPr>
        <w:t>Hieron</w:t>
      </w:r>
      <w:proofErr w:type="spellEnd"/>
      <w:r w:rsidRPr="00DD0D4A">
        <w:rPr>
          <w:rFonts w:asciiTheme="minorHAnsi" w:hAnsiTheme="minorHAnsi"/>
          <w:color w:val="000000"/>
          <w:sz w:val="16"/>
          <w:szCs w:val="22"/>
          <w:lang w:val="fr-FR"/>
        </w:rPr>
        <w:t>’s court</w:t>
      </w:r>
      <w:r w:rsidRPr="00DD0D4A">
        <w:rPr>
          <w:rFonts w:asciiTheme="minorHAnsi" w:hAnsiTheme="minorHAnsi"/>
          <w:color w:val="000000"/>
          <w:sz w:val="16"/>
          <w:szCs w:val="22"/>
        </w:rPr>
        <w:t xml:space="preserve">“, </w:t>
      </w:r>
      <w:proofErr w:type="spellStart"/>
      <w:r w:rsidRPr="00DD0D4A">
        <w:rPr>
          <w:rFonts w:asciiTheme="minorHAnsi" w:hAnsiTheme="minorHAnsi"/>
          <w:i/>
          <w:iCs/>
          <w:color w:val="000000"/>
          <w:sz w:val="16"/>
          <w:szCs w:val="22"/>
          <w:lang w:val="es-ES_tradnl"/>
        </w:rPr>
        <w:t>Kokalos</w:t>
      </w:r>
      <w:proofErr w:type="spellEnd"/>
      <w:r w:rsidRPr="00DD0D4A">
        <w:rPr>
          <w:rFonts w:asciiTheme="minorHAnsi" w:hAnsiTheme="minorHAnsi"/>
          <w:color w:val="000000"/>
          <w:sz w:val="16"/>
          <w:szCs w:val="22"/>
        </w:rPr>
        <w:t xml:space="preserve"> 36-37: 103–110.</w:t>
      </w:r>
      <w:proofErr w:type="gramEnd"/>
    </w:p>
    <w:p w14:paraId="55B9A173"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lang w:val="da-DK"/>
        </w:rPr>
        <w:t>Bastianini</w:t>
      </w:r>
      <w:proofErr w:type="spellEnd"/>
      <w:r w:rsidRPr="00DD0D4A">
        <w:rPr>
          <w:rFonts w:asciiTheme="minorHAnsi" w:hAnsiTheme="minorHAnsi"/>
          <w:color w:val="000000"/>
          <w:sz w:val="16"/>
          <w:szCs w:val="22"/>
          <w:lang w:val="da-DK"/>
        </w:rPr>
        <w:t xml:space="preserve">, G., D. </w:t>
      </w:r>
      <w:proofErr w:type="spellStart"/>
      <w:r w:rsidRPr="00DD0D4A">
        <w:rPr>
          <w:rFonts w:asciiTheme="minorHAnsi" w:hAnsiTheme="minorHAnsi"/>
          <w:color w:val="000000"/>
          <w:sz w:val="16"/>
          <w:szCs w:val="22"/>
          <w:lang w:val="da-DK"/>
        </w:rPr>
        <w:t>Sedley</w:t>
      </w:r>
      <w:proofErr w:type="spellEnd"/>
      <w:r w:rsidRPr="00DD0D4A">
        <w:rPr>
          <w:rFonts w:asciiTheme="minorHAnsi" w:hAnsiTheme="minorHAnsi"/>
          <w:color w:val="000000"/>
          <w:sz w:val="16"/>
          <w:szCs w:val="22"/>
          <w:lang w:val="da-DK"/>
        </w:rPr>
        <w:t xml:space="preserve"> 1995. </w:t>
      </w:r>
      <w:proofErr w:type="gramStart"/>
      <w:r w:rsidRPr="00DD0D4A">
        <w:rPr>
          <w:rFonts w:asciiTheme="minorHAnsi" w:hAnsiTheme="minorHAnsi"/>
          <w:color w:val="000000"/>
          <w:sz w:val="16"/>
          <w:szCs w:val="22"/>
        </w:rPr>
        <w:t>„</w:t>
      </w:r>
      <w:proofErr w:type="spellStart"/>
      <w:r w:rsidRPr="00DD0D4A">
        <w:rPr>
          <w:rFonts w:asciiTheme="minorHAnsi" w:hAnsiTheme="minorHAnsi"/>
          <w:color w:val="000000"/>
          <w:sz w:val="16"/>
          <w:szCs w:val="22"/>
          <w:lang w:val="de-DE"/>
        </w:rPr>
        <w:t>Commentarium</w:t>
      </w:r>
      <w:proofErr w:type="spellEnd"/>
      <w:r w:rsidRPr="00DD0D4A">
        <w:rPr>
          <w:rFonts w:asciiTheme="minorHAnsi" w:hAnsiTheme="minorHAnsi"/>
          <w:color w:val="000000"/>
          <w:sz w:val="16"/>
          <w:szCs w:val="22"/>
          <w:lang w:val="de-DE"/>
        </w:rPr>
        <w:t xml:space="preserve"> in </w:t>
      </w:r>
      <w:proofErr w:type="spellStart"/>
      <w:r w:rsidRPr="00DD0D4A">
        <w:rPr>
          <w:rFonts w:asciiTheme="minorHAnsi" w:hAnsiTheme="minorHAnsi"/>
          <w:color w:val="000000"/>
          <w:sz w:val="16"/>
          <w:szCs w:val="22"/>
          <w:lang w:val="de-DE"/>
        </w:rPr>
        <w:t>Platonis</w:t>
      </w:r>
      <w:proofErr w:type="spellEnd"/>
      <w:r w:rsidRPr="00DD0D4A">
        <w:rPr>
          <w:rFonts w:asciiTheme="minorHAnsi" w:hAnsiTheme="minorHAnsi"/>
          <w:color w:val="000000"/>
          <w:sz w:val="16"/>
          <w:szCs w:val="22"/>
          <w:lang w:val="de-DE"/>
        </w:rPr>
        <w:t xml:space="preserve"> </w:t>
      </w:r>
      <w:proofErr w:type="spellStart"/>
      <w:r w:rsidRPr="00DD0D4A">
        <w:rPr>
          <w:rFonts w:asciiTheme="minorHAnsi" w:hAnsiTheme="minorHAnsi"/>
          <w:i/>
          <w:iCs/>
          <w:color w:val="000000"/>
          <w:sz w:val="16"/>
          <w:szCs w:val="22"/>
        </w:rPr>
        <w:t>Theaetetum</w:t>
      </w:r>
      <w:proofErr w:type="spellEnd"/>
      <w:r w:rsidRPr="00DD0D4A">
        <w:rPr>
          <w:rFonts w:asciiTheme="minorHAnsi" w:hAnsiTheme="minorHAnsi"/>
          <w:color w:val="000000"/>
          <w:sz w:val="16"/>
          <w:szCs w:val="22"/>
        </w:rPr>
        <w:t xml:space="preserve">“, </w:t>
      </w:r>
      <w:r w:rsidRPr="00DD0D4A">
        <w:rPr>
          <w:rFonts w:asciiTheme="minorHAnsi" w:hAnsiTheme="minorHAnsi"/>
          <w:i/>
          <w:iCs/>
          <w:color w:val="000000"/>
          <w:sz w:val="16"/>
          <w:szCs w:val="22"/>
          <w:lang w:val="it-IT"/>
        </w:rPr>
        <w:t>Corpus dei papiri filosofici greci e latini.</w:t>
      </w:r>
      <w:proofErr w:type="gramEnd"/>
      <w:r w:rsidRPr="00DD0D4A">
        <w:rPr>
          <w:rFonts w:asciiTheme="minorHAnsi" w:hAnsiTheme="minorHAnsi"/>
          <w:i/>
          <w:iCs/>
          <w:color w:val="000000"/>
          <w:sz w:val="16"/>
          <w:szCs w:val="22"/>
          <w:lang w:val="it-IT"/>
        </w:rPr>
        <w:t xml:space="preserve"> Testi e lessico nei papiri di cultura greca e latina</w:t>
      </w:r>
      <w:r w:rsidRPr="00DD0D4A">
        <w:rPr>
          <w:rFonts w:asciiTheme="minorHAnsi" w:hAnsiTheme="minorHAnsi"/>
          <w:color w:val="000000"/>
          <w:sz w:val="16"/>
          <w:szCs w:val="22"/>
          <w:lang w:val="fr-FR"/>
        </w:rPr>
        <w:t xml:space="preserve">, </w:t>
      </w:r>
      <w:proofErr w:type="gramStart"/>
      <w:r w:rsidRPr="00DD0D4A">
        <w:rPr>
          <w:rFonts w:asciiTheme="minorHAnsi" w:hAnsiTheme="minorHAnsi"/>
          <w:color w:val="000000"/>
          <w:sz w:val="16"/>
          <w:szCs w:val="22"/>
          <w:lang w:val="fr-FR"/>
        </w:rPr>
        <w:t>3</w:t>
      </w:r>
      <w:proofErr w:type="gramEnd"/>
      <w:r w:rsidRPr="00DD0D4A">
        <w:rPr>
          <w:rFonts w:asciiTheme="minorHAnsi" w:hAnsiTheme="minorHAnsi"/>
          <w:color w:val="000000"/>
          <w:sz w:val="16"/>
          <w:szCs w:val="22"/>
          <w:lang w:val="fr-FR"/>
        </w:rPr>
        <w:t xml:space="preserve">: </w:t>
      </w:r>
      <w:proofErr w:type="spellStart"/>
      <w:r w:rsidRPr="00DD0D4A">
        <w:rPr>
          <w:rFonts w:asciiTheme="minorHAnsi" w:hAnsiTheme="minorHAnsi"/>
          <w:color w:val="000000"/>
          <w:sz w:val="16"/>
          <w:szCs w:val="22"/>
          <w:lang w:val="fr-FR"/>
        </w:rPr>
        <w:t>Commentari</w:t>
      </w:r>
      <w:proofErr w:type="spellEnd"/>
      <w:r w:rsidRPr="00DD0D4A">
        <w:rPr>
          <w:rFonts w:asciiTheme="minorHAnsi" w:hAnsiTheme="minorHAnsi"/>
          <w:color w:val="000000"/>
          <w:sz w:val="16"/>
          <w:szCs w:val="22"/>
          <w:lang w:val="fr-FR"/>
        </w:rPr>
        <w:t>: 227</w:t>
      </w:r>
      <w:r w:rsidRPr="00DD0D4A">
        <w:rPr>
          <w:rFonts w:asciiTheme="minorHAnsi" w:hAnsiTheme="minorHAnsi"/>
          <w:color w:val="000000"/>
          <w:sz w:val="16"/>
          <w:szCs w:val="22"/>
        </w:rPr>
        <w:t>–</w:t>
      </w:r>
      <w:r w:rsidRPr="00DD0D4A">
        <w:rPr>
          <w:rFonts w:asciiTheme="minorHAnsi" w:hAnsiTheme="minorHAnsi"/>
          <w:color w:val="000000"/>
          <w:sz w:val="16"/>
          <w:szCs w:val="22"/>
          <w:lang w:val="de-DE"/>
        </w:rPr>
        <w:t>562. Firenze.</w:t>
      </w:r>
    </w:p>
    <w:p w14:paraId="4D73A9D8"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DD0D4A">
        <w:rPr>
          <w:rFonts w:asciiTheme="minorHAnsi" w:hAnsiTheme="minorHAnsi"/>
          <w:color w:val="000000"/>
          <w:sz w:val="16"/>
          <w:szCs w:val="22"/>
        </w:rPr>
        <w:t>Berk</w:t>
      </w:r>
      <w:proofErr w:type="spellEnd"/>
      <w:r w:rsidRPr="00DD0D4A">
        <w:rPr>
          <w:rFonts w:asciiTheme="minorHAnsi" w:hAnsiTheme="minorHAnsi"/>
          <w:color w:val="000000"/>
          <w:sz w:val="16"/>
          <w:szCs w:val="22"/>
        </w:rPr>
        <w:t>, L. 1964.</w:t>
      </w:r>
      <w:proofErr w:type="gramEnd"/>
      <w:r w:rsidRPr="00DD0D4A">
        <w:rPr>
          <w:rFonts w:asciiTheme="minorHAnsi" w:hAnsiTheme="minorHAnsi"/>
          <w:color w:val="000000"/>
          <w:sz w:val="16"/>
          <w:szCs w:val="22"/>
        </w:rPr>
        <w:t xml:space="preserve"> </w:t>
      </w:r>
      <w:proofErr w:type="spellStart"/>
      <w:r w:rsidRPr="00DD0D4A">
        <w:rPr>
          <w:rFonts w:asciiTheme="minorHAnsi" w:hAnsiTheme="minorHAnsi"/>
          <w:i/>
          <w:iCs/>
          <w:color w:val="000000"/>
          <w:sz w:val="16"/>
          <w:szCs w:val="22"/>
          <w:lang w:val="de-DE"/>
        </w:rPr>
        <w:t>Epicharmus</w:t>
      </w:r>
      <w:proofErr w:type="spellEnd"/>
      <w:r w:rsidRPr="00DD0D4A">
        <w:rPr>
          <w:rFonts w:asciiTheme="minorHAnsi" w:hAnsiTheme="minorHAnsi"/>
          <w:color w:val="000000"/>
          <w:sz w:val="16"/>
          <w:szCs w:val="22"/>
          <w:lang w:val="nl-NL"/>
        </w:rPr>
        <w:t>. Groningen.</w:t>
      </w:r>
    </w:p>
    <w:p w14:paraId="6947A0FA"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rPr>
        <w:t>Bernays</w:t>
      </w:r>
      <w:proofErr w:type="spellEnd"/>
      <w:r w:rsidRPr="00DD0D4A">
        <w:rPr>
          <w:rFonts w:asciiTheme="minorHAnsi" w:hAnsiTheme="minorHAnsi"/>
          <w:color w:val="000000"/>
          <w:sz w:val="16"/>
          <w:szCs w:val="22"/>
        </w:rPr>
        <w:t xml:space="preserve">, J. 1853. </w:t>
      </w:r>
      <w:proofErr w:type="gramStart"/>
      <w:r w:rsidRPr="00DD0D4A">
        <w:rPr>
          <w:rFonts w:asciiTheme="minorHAnsi" w:hAnsiTheme="minorHAnsi"/>
          <w:color w:val="000000"/>
          <w:sz w:val="16"/>
          <w:szCs w:val="22"/>
        </w:rPr>
        <w:t>„</w:t>
      </w:r>
      <w:proofErr w:type="spellStart"/>
      <w:r w:rsidRPr="00DD0D4A">
        <w:rPr>
          <w:rFonts w:asciiTheme="minorHAnsi" w:hAnsiTheme="minorHAnsi"/>
          <w:color w:val="000000"/>
          <w:sz w:val="16"/>
          <w:szCs w:val="22"/>
          <w:lang w:val="de-DE"/>
        </w:rPr>
        <w:t>Epicharmos</w:t>
      </w:r>
      <w:proofErr w:type="spellEnd"/>
      <w:r w:rsidRPr="00DD0D4A">
        <w:rPr>
          <w:rFonts w:asciiTheme="minorHAnsi" w:hAnsiTheme="minorHAnsi"/>
          <w:color w:val="000000"/>
          <w:sz w:val="16"/>
          <w:szCs w:val="22"/>
          <w:lang w:val="de-DE"/>
        </w:rPr>
        <w:t xml:space="preserve"> und der </w:t>
      </w:r>
      <w:proofErr w:type="spellStart"/>
      <w:r w:rsidRPr="00DD0D4A">
        <w:rPr>
          <w:rFonts w:asciiTheme="minorHAnsi" w:hAnsiTheme="minorHAnsi"/>
          <w:color w:val="000000"/>
          <w:sz w:val="16"/>
          <w:szCs w:val="22"/>
        </w:rPr>
        <w:t>Αὐξ</w:t>
      </w:r>
      <w:proofErr w:type="spellEnd"/>
      <w:r w:rsidRPr="00DD0D4A">
        <w:rPr>
          <w:rFonts w:asciiTheme="minorHAnsi" w:hAnsiTheme="minorHAnsi"/>
          <w:color w:val="000000"/>
          <w:sz w:val="16"/>
          <w:szCs w:val="22"/>
        </w:rPr>
        <w:t>α</w:t>
      </w:r>
      <w:proofErr w:type="spellStart"/>
      <w:r w:rsidRPr="00DD0D4A">
        <w:rPr>
          <w:rFonts w:asciiTheme="minorHAnsi" w:hAnsiTheme="minorHAnsi"/>
          <w:color w:val="000000"/>
          <w:sz w:val="16"/>
          <w:szCs w:val="22"/>
        </w:rPr>
        <w:t>νόμενος</w:t>
      </w:r>
      <w:proofErr w:type="spellEnd"/>
      <w:r w:rsidRPr="00DD0D4A">
        <w:rPr>
          <w:rFonts w:asciiTheme="minorHAnsi" w:hAnsiTheme="minorHAnsi"/>
          <w:color w:val="000000"/>
          <w:sz w:val="16"/>
          <w:szCs w:val="22"/>
        </w:rPr>
        <w:t xml:space="preserve"> </w:t>
      </w:r>
      <w:proofErr w:type="spellStart"/>
      <w:r w:rsidRPr="00DD0D4A">
        <w:rPr>
          <w:rFonts w:asciiTheme="minorHAnsi" w:hAnsiTheme="minorHAnsi"/>
          <w:color w:val="000000"/>
          <w:sz w:val="16"/>
          <w:szCs w:val="22"/>
        </w:rPr>
        <w:t>Λόγος</w:t>
      </w:r>
      <w:proofErr w:type="spellEnd"/>
      <w:r w:rsidRPr="00DD0D4A">
        <w:rPr>
          <w:rFonts w:asciiTheme="minorHAnsi" w:hAnsiTheme="minorHAnsi"/>
          <w:color w:val="000000"/>
          <w:sz w:val="16"/>
          <w:szCs w:val="22"/>
        </w:rPr>
        <w:t xml:space="preserve">“, </w:t>
      </w:r>
      <w:r w:rsidRPr="00DD0D4A">
        <w:rPr>
          <w:rFonts w:asciiTheme="minorHAnsi" w:hAnsiTheme="minorHAnsi"/>
          <w:i/>
          <w:iCs/>
          <w:color w:val="000000"/>
          <w:sz w:val="16"/>
          <w:szCs w:val="22"/>
          <w:lang w:val="de-DE"/>
        </w:rPr>
        <w:t>Rheinisches Museum f</w:t>
      </w:r>
      <w:proofErr w:type="spellStart"/>
      <w:r w:rsidRPr="00DD0D4A">
        <w:rPr>
          <w:rFonts w:asciiTheme="minorHAnsi" w:hAnsiTheme="minorHAnsi"/>
          <w:i/>
          <w:iCs/>
          <w:color w:val="000000"/>
          <w:sz w:val="16"/>
          <w:szCs w:val="22"/>
        </w:rPr>
        <w:t>ür</w:t>
      </w:r>
      <w:proofErr w:type="spellEnd"/>
      <w:r w:rsidRPr="00DD0D4A">
        <w:rPr>
          <w:rFonts w:asciiTheme="minorHAnsi" w:hAnsiTheme="minorHAnsi"/>
          <w:i/>
          <w:iCs/>
          <w:color w:val="000000"/>
          <w:sz w:val="16"/>
          <w:szCs w:val="22"/>
        </w:rPr>
        <w:t xml:space="preserve"> </w:t>
      </w:r>
      <w:proofErr w:type="spellStart"/>
      <w:r w:rsidRPr="00DD0D4A">
        <w:rPr>
          <w:rFonts w:asciiTheme="minorHAnsi" w:hAnsiTheme="minorHAnsi"/>
          <w:i/>
          <w:iCs/>
          <w:color w:val="000000"/>
          <w:sz w:val="16"/>
          <w:szCs w:val="22"/>
        </w:rPr>
        <w:t>Philologie</w:t>
      </w:r>
      <w:proofErr w:type="spellEnd"/>
      <w:r w:rsidRPr="00DD0D4A">
        <w:rPr>
          <w:rFonts w:asciiTheme="minorHAnsi" w:hAnsiTheme="minorHAnsi"/>
          <w:color w:val="000000"/>
          <w:sz w:val="16"/>
          <w:szCs w:val="22"/>
        </w:rPr>
        <w:t xml:space="preserve"> 8: 280–288.</w:t>
      </w:r>
      <w:proofErr w:type="gramEnd"/>
    </w:p>
    <w:p w14:paraId="7BF78B08"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DD0D4A">
        <w:rPr>
          <w:rFonts w:asciiTheme="minorHAnsi" w:hAnsiTheme="minorHAnsi"/>
          <w:color w:val="000000"/>
          <w:sz w:val="16"/>
          <w:szCs w:val="22"/>
        </w:rPr>
        <w:t>Cassio</w:t>
      </w:r>
      <w:proofErr w:type="spellEnd"/>
      <w:r w:rsidRPr="00DD0D4A">
        <w:rPr>
          <w:rFonts w:asciiTheme="minorHAnsi" w:hAnsiTheme="minorHAnsi"/>
          <w:color w:val="000000"/>
          <w:sz w:val="16"/>
          <w:szCs w:val="22"/>
        </w:rPr>
        <w:t>, A. C. 1985.</w:t>
      </w:r>
      <w:proofErr w:type="gramEnd"/>
      <w:r w:rsidRPr="00DD0D4A">
        <w:rPr>
          <w:rFonts w:asciiTheme="minorHAnsi" w:hAnsiTheme="minorHAnsi"/>
          <w:color w:val="000000"/>
          <w:sz w:val="16"/>
          <w:szCs w:val="22"/>
        </w:rPr>
        <w:t xml:space="preserve"> „Two Studies on </w:t>
      </w:r>
      <w:proofErr w:type="spellStart"/>
      <w:r w:rsidRPr="00DD0D4A">
        <w:rPr>
          <w:rFonts w:asciiTheme="minorHAnsi" w:hAnsiTheme="minorHAnsi"/>
          <w:color w:val="000000"/>
          <w:sz w:val="16"/>
          <w:szCs w:val="22"/>
        </w:rPr>
        <w:t>Epicharmus</w:t>
      </w:r>
      <w:proofErr w:type="spellEnd"/>
      <w:r w:rsidRPr="00DD0D4A">
        <w:rPr>
          <w:rFonts w:asciiTheme="minorHAnsi" w:hAnsiTheme="minorHAnsi"/>
          <w:color w:val="000000"/>
          <w:sz w:val="16"/>
          <w:szCs w:val="22"/>
        </w:rPr>
        <w:t xml:space="preserve"> and His Influence“, </w:t>
      </w:r>
      <w:r w:rsidRPr="00DD0D4A">
        <w:rPr>
          <w:rFonts w:asciiTheme="minorHAnsi" w:hAnsiTheme="minorHAnsi"/>
          <w:i/>
          <w:iCs/>
          <w:color w:val="000000"/>
          <w:sz w:val="16"/>
          <w:szCs w:val="22"/>
        </w:rPr>
        <w:t>Harvard Studies in Classical Philology</w:t>
      </w:r>
      <w:r w:rsidRPr="00DD0D4A">
        <w:rPr>
          <w:rFonts w:asciiTheme="minorHAnsi" w:hAnsiTheme="minorHAnsi"/>
          <w:color w:val="000000"/>
          <w:sz w:val="16"/>
          <w:szCs w:val="22"/>
        </w:rPr>
        <w:t xml:space="preserve"> 89: 37–51.</w:t>
      </w:r>
    </w:p>
    <w:p w14:paraId="629DA78B"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DD0D4A">
        <w:rPr>
          <w:rFonts w:asciiTheme="minorHAnsi" w:hAnsiTheme="minorHAnsi"/>
          <w:color w:val="000000"/>
          <w:sz w:val="16"/>
          <w:szCs w:val="22"/>
        </w:rPr>
        <w:t>--</w:t>
      </w:r>
      <w:proofErr w:type="gramStart"/>
      <w:r w:rsidRPr="00DD0D4A">
        <w:rPr>
          <w:rFonts w:asciiTheme="minorHAnsi" w:hAnsiTheme="minorHAnsi"/>
          <w:color w:val="000000"/>
          <w:sz w:val="16"/>
          <w:szCs w:val="22"/>
        </w:rPr>
        <w:t>-            2002</w:t>
      </w:r>
      <w:proofErr w:type="gramEnd"/>
      <w:r w:rsidRPr="00DD0D4A">
        <w:rPr>
          <w:rFonts w:asciiTheme="minorHAnsi" w:hAnsiTheme="minorHAnsi"/>
          <w:color w:val="000000"/>
          <w:sz w:val="16"/>
          <w:szCs w:val="22"/>
        </w:rPr>
        <w:t xml:space="preserve">. </w:t>
      </w:r>
      <w:proofErr w:type="gramStart"/>
      <w:r w:rsidRPr="00DD0D4A">
        <w:rPr>
          <w:rFonts w:asciiTheme="minorHAnsi" w:hAnsiTheme="minorHAnsi"/>
          <w:color w:val="000000"/>
          <w:sz w:val="16"/>
          <w:szCs w:val="22"/>
        </w:rPr>
        <w:t xml:space="preserve">„The language of Doric comedy“, </w:t>
      </w:r>
      <w:r w:rsidRPr="00DD0D4A">
        <w:rPr>
          <w:rFonts w:asciiTheme="minorHAnsi" w:hAnsiTheme="minorHAnsi"/>
          <w:i/>
          <w:iCs/>
          <w:color w:val="000000"/>
          <w:sz w:val="16"/>
          <w:szCs w:val="22"/>
        </w:rPr>
        <w:t>The Language of Greek Comedy</w:t>
      </w:r>
      <w:r w:rsidRPr="00DD0D4A">
        <w:rPr>
          <w:rFonts w:asciiTheme="minorHAnsi" w:hAnsiTheme="minorHAnsi"/>
          <w:color w:val="000000"/>
          <w:sz w:val="16"/>
          <w:szCs w:val="22"/>
        </w:rPr>
        <w:t xml:space="preserve">, ed. by A. </w:t>
      </w:r>
      <w:proofErr w:type="spellStart"/>
      <w:r w:rsidRPr="00DD0D4A">
        <w:rPr>
          <w:rFonts w:asciiTheme="minorHAnsi" w:hAnsiTheme="minorHAnsi"/>
          <w:color w:val="000000"/>
          <w:sz w:val="16"/>
          <w:szCs w:val="22"/>
        </w:rPr>
        <w:t>Willi</w:t>
      </w:r>
      <w:proofErr w:type="spellEnd"/>
      <w:r w:rsidRPr="00DD0D4A">
        <w:rPr>
          <w:rFonts w:asciiTheme="minorHAnsi" w:hAnsiTheme="minorHAnsi"/>
          <w:color w:val="000000"/>
          <w:sz w:val="16"/>
          <w:szCs w:val="22"/>
        </w:rPr>
        <w:t>, 51–83.</w:t>
      </w:r>
      <w:proofErr w:type="gramEnd"/>
      <w:r w:rsidRPr="00DD0D4A">
        <w:rPr>
          <w:rFonts w:asciiTheme="minorHAnsi" w:hAnsiTheme="minorHAnsi"/>
          <w:color w:val="000000"/>
          <w:sz w:val="16"/>
          <w:szCs w:val="22"/>
        </w:rPr>
        <w:t xml:space="preserve"> Oxford.</w:t>
      </w:r>
    </w:p>
    <w:p w14:paraId="5531603A"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lang w:val="fr-FR"/>
        </w:rPr>
        <w:t>Demand</w:t>
      </w:r>
      <w:proofErr w:type="spellEnd"/>
      <w:r w:rsidRPr="00DD0D4A">
        <w:rPr>
          <w:rFonts w:asciiTheme="minorHAnsi" w:hAnsiTheme="minorHAnsi"/>
          <w:color w:val="000000"/>
          <w:sz w:val="16"/>
          <w:szCs w:val="22"/>
          <w:lang w:val="fr-FR"/>
        </w:rPr>
        <w:t xml:space="preserve">, N. 1971. </w:t>
      </w:r>
      <w:proofErr w:type="gramStart"/>
      <w:r w:rsidRPr="00DD0D4A">
        <w:rPr>
          <w:rFonts w:asciiTheme="minorHAnsi" w:hAnsiTheme="minorHAnsi"/>
          <w:color w:val="000000"/>
          <w:sz w:val="16"/>
          <w:szCs w:val="22"/>
        </w:rPr>
        <w:t>„</w:t>
      </w:r>
      <w:proofErr w:type="spellStart"/>
      <w:r w:rsidRPr="00DD0D4A">
        <w:rPr>
          <w:rFonts w:asciiTheme="minorHAnsi" w:hAnsiTheme="minorHAnsi"/>
          <w:color w:val="000000"/>
          <w:sz w:val="16"/>
          <w:szCs w:val="22"/>
        </w:rPr>
        <w:t>Epicharmus</w:t>
      </w:r>
      <w:proofErr w:type="spellEnd"/>
      <w:r w:rsidRPr="00DD0D4A">
        <w:rPr>
          <w:rFonts w:asciiTheme="minorHAnsi" w:hAnsiTheme="minorHAnsi"/>
          <w:color w:val="000000"/>
          <w:sz w:val="16"/>
          <w:szCs w:val="22"/>
        </w:rPr>
        <w:t xml:space="preserve"> and </w:t>
      </w:r>
      <w:proofErr w:type="spellStart"/>
      <w:r w:rsidRPr="00DD0D4A">
        <w:rPr>
          <w:rFonts w:asciiTheme="minorHAnsi" w:hAnsiTheme="minorHAnsi"/>
          <w:color w:val="000000"/>
          <w:sz w:val="16"/>
          <w:szCs w:val="22"/>
        </w:rPr>
        <w:t>Gorgias</w:t>
      </w:r>
      <w:proofErr w:type="spellEnd"/>
      <w:r w:rsidRPr="00DD0D4A">
        <w:rPr>
          <w:rFonts w:asciiTheme="minorHAnsi" w:hAnsiTheme="minorHAnsi"/>
          <w:color w:val="000000"/>
          <w:sz w:val="16"/>
          <w:szCs w:val="22"/>
        </w:rPr>
        <w:t xml:space="preserve">“, </w:t>
      </w:r>
      <w:r w:rsidRPr="00DD0D4A">
        <w:rPr>
          <w:rFonts w:asciiTheme="minorHAnsi" w:hAnsiTheme="minorHAnsi"/>
          <w:i/>
          <w:iCs/>
          <w:color w:val="000000"/>
          <w:sz w:val="16"/>
          <w:szCs w:val="22"/>
        </w:rPr>
        <w:t>The American Journal of Philology</w:t>
      </w:r>
      <w:r w:rsidRPr="00DD0D4A">
        <w:rPr>
          <w:rFonts w:asciiTheme="minorHAnsi" w:hAnsiTheme="minorHAnsi"/>
          <w:color w:val="000000"/>
          <w:sz w:val="16"/>
          <w:szCs w:val="22"/>
        </w:rPr>
        <w:t xml:space="preserve"> 92: 453–463.</w:t>
      </w:r>
      <w:proofErr w:type="gramEnd"/>
    </w:p>
    <w:p w14:paraId="62457E04"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gramStart"/>
      <w:r w:rsidRPr="00DD0D4A">
        <w:rPr>
          <w:rFonts w:asciiTheme="minorHAnsi" w:hAnsiTheme="minorHAnsi"/>
          <w:color w:val="000000"/>
          <w:sz w:val="16"/>
          <w:szCs w:val="22"/>
        </w:rPr>
        <w:t>Kennedy, G. A. (tr., with intr., notes, and app.) 1991.</w:t>
      </w:r>
      <w:proofErr w:type="gramEnd"/>
      <w:r w:rsidRPr="00DD0D4A">
        <w:rPr>
          <w:rFonts w:asciiTheme="minorHAnsi" w:hAnsiTheme="minorHAnsi"/>
          <w:color w:val="000000"/>
          <w:sz w:val="16"/>
          <w:szCs w:val="22"/>
        </w:rPr>
        <w:t xml:space="preserve"> </w:t>
      </w:r>
      <w:r w:rsidRPr="00DD0D4A">
        <w:rPr>
          <w:rFonts w:asciiTheme="minorHAnsi" w:hAnsiTheme="minorHAnsi"/>
          <w:i/>
          <w:iCs/>
          <w:color w:val="000000"/>
          <w:sz w:val="16"/>
          <w:szCs w:val="22"/>
        </w:rPr>
        <w:t>Aristotle On rhetoric: a theory of civic discourse</w:t>
      </w:r>
      <w:r w:rsidRPr="00DD0D4A">
        <w:rPr>
          <w:rFonts w:asciiTheme="minorHAnsi" w:hAnsiTheme="minorHAnsi"/>
          <w:color w:val="000000"/>
          <w:sz w:val="16"/>
          <w:szCs w:val="22"/>
        </w:rPr>
        <w:t>. New York - Oxford.</w:t>
      </w:r>
    </w:p>
    <w:p w14:paraId="1F003D57"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DD0D4A">
        <w:rPr>
          <w:rFonts w:asciiTheme="minorHAnsi" w:hAnsiTheme="minorHAnsi"/>
          <w:color w:val="000000"/>
          <w:sz w:val="16"/>
          <w:szCs w:val="22"/>
        </w:rPr>
        <w:t>Kerkhof</w:t>
      </w:r>
      <w:proofErr w:type="spellEnd"/>
      <w:r w:rsidRPr="00DD0D4A">
        <w:rPr>
          <w:rFonts w:asciiTheme="minorHAnsi" w:hAnsiTheme="minorHAnsi"/>
          <w:color w:val="000000"/>
          <w:sz w:val="16"/>
          <w:szCs w:val="22"/>
        </w:rPr>
        <w:t>, R. 2001.</w:t>
      </w:r>
      <w:proofErr w:type="gramEnd"/>
      <w:r w:rsidRPr="00DD0D4A">
        <w:rPr>
          <w:rFonts w:asciiTheme="minorHAnsi" w:hAnsiTheme="minorHAnsi"/>
          <w:color w:val="000000"/>
          <w:sz w:val="16"/>
          <w:szCs w:val="22"/>
        </w:rPr>
        <w:t xml:space="preserve"> </w:t>
      </w:r>
      <w:r w:rsidRPr="00DD0D4A">
        <w:rPr>
          <w:rFonts w:asciiTheme="minorHAnsi" w:hAnsiTheme="minorHAnsi"/>
          <w:i/>
          <w:iCs/>
          <w:color w:val="000000"/>
          <w:sz w:val="16"/>
          <w:szCs w:val="22"/>
          <w:lang w:val="de-DE"/>
        </w:rPr>
        <w:t xml:space="preserve">Dorische Posse, </w:t>
      </w:r>
      <w:proofErr w:type="spellStart"/>
      <w:r w:rsidRPr="00DD0D4A">
        <w:rPr>
          <w:rFonts w:asciiTheme="minorHAnsi" w:hAnsiTheme="minorHAnsi"/>
          <w:i/>
          <w:iCs/>
          <w:color w:val="000000"/>
          <w:sz w:val="16"/>
          <w:szCs w:val="22"/>
          <w:lang w:val="de-DE"/>
        </w:rPr>
        <w:t>Epicharm</w:t>
      </w:r>
      <w:proofErr w:type="spellEnd"/>
      <w:r w:rsidRPr="00DD0D4A">
        <w:rPr>
          <w:rFonts w:asciiTheme="minorHAnsi" w:hAnsiTheme="minorHAnsi"/>
          <w:i/>
          <w:iCs/>
          <w:color w:val="000000"/>
          <w:sz w:val="16"/>
          <w:szCs w:val="22"/>
          <w:lang w:val="de-DE"/>
        </w:rPr>
        <w:t xml:space="preserve"> und Attische </w:t>
      </w:r>
      <w:proofErr w:type="spellStart"/>
      <w:r w:rsidRPr="00DD0D4A">
        <w:rPr>
          <w:rFonts w:asciiTheme="minorHAnsi" w:hAnsiTheme="minorHAnsi"/>
          <w:i/>
          <w:iCs/>
          <w:color w:val="000000"/>
          <w:sz w:val="16"/>
          <w:szCs w:val="22"/>
          <w:lang w:val="de-DE"/>
        </w:rPr>
        <w:t>Kom</w:t>
      </w:r>
      <w:proofErr w:type="spellEnd"/>
      <w:r w:rsidRPr="00DD0D4A">
        <w:rPr>
          <w:rFonts w:asciiTheme="minorHAnsi" w:hAnsiTheme="minorHAnsi"/>
          <w:i/>
          <w:iCs/>
          <w:color w:val="000000"/>
          <w:sz w:val="16"/>
          <w:szCs w:val="22"/>
        </w:rPr>
        <w:t>ö</w:t>
      </w:r>
      <w:r w:rsidRPr="00DD0D4A">
        <w:rPr>
          <w:rFonts w:asciiTheme="minorHAnsi" w:hAnsiTheme="minorHAnsi"/>
          <w:i/>
          <w:iCs/>
          <w:color w:val="000000"/>
          <w:sz w:val="16"/>
          <w:szCs w:val="22"/>
          <w:lang w:val="de-DE"/>
        </w:rPr>
        <w:t>die</w:t>
      </w:r>
      <w:r w:rsidRPr="00DD0D4A">
        <w:rPr>
          <w:rFonts w:asciiTheme="minorHAnsi" w:hAnsiTheme="minorHAnsi"/>
          <w:color w:val="000000"/>
          <w:sz w:val="16"/>
          <w:szCs w:val="22"/>
        </w:rPr>
        <w:t xml:space="preserve">. </w:t>
      </w:r>
      <w:proofErr w:type="spellStart"/>
      <w:r w:rsidRPr="00DD0D4A">
        <w:rPr>
          <w:rFonts w:asciiTheme="minorHAnsi" w:hAnsiTheme="minorHAnsi"/>
          <w:color w:val="000000"/>
          <w:sz w:val="16"/>
          <w:szCs w:val="22"/>
        </w:rPr>
        <w:t>Mü</w:t>
      </w:r>
      <w:r w:rsidRPr="00DD0D4A">
        <w:rPr>
          <w:rFonts w:asciiTheme="minorHAnsi" w:hAnsiTheme="minorHAnsi"/>
          <w:color w:val="000000"/>
          <w:sz w:val="16"/>
          <w:szCs w:val="22"/>
          <w:lang w:val="de-DE"/>
        </w:rPr>
        <w:t>nchen</w:t>
      </w:r>
      <w:proofErr w:type="spellEnd"/>
      <w:r w:rsidRPr="00DD0D4A">
        <w:rPr>
          <w:rFonts w:asciiTheme="minorHAnsi" w:hAnsiTheme="minorHAnsi"/>
          <w:color w:val="000000"/>
          <w:sz w:val="16"/>
          <w:szCs w:val="22"/>
          <w:lang w:val="de-DE"/>
        </w:rPr>
        <w:t xml:space="preserve"> - Leipzig.</w:t>
      </w:r>
    </w:p>
    <w:p w14:paraId="673DFCEF"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DD0D4A">
        <w:rPr>
          <w:rFonts w:asciiTheme="minorHAnsi" w:hAnsiTheme="minorHAnsi"/>
          <w:color w:val="000000"/>
          <w:sz w:val="16"/>
          <w:szCs w:val="22"/>
        </w:rPr>
        <w:t>Merkelbach</w:t>
      </w:r>
      <w:proofErr w:type="spellEnd"/>
      <w:r w:rsidRPr="00DD0D4A">
        <w:rPr>
          <w:rFonts w:asciiTheme="minorHAnsi" w:hAnsiTheme="minorHAnsi"/>
          <w:color w:val="000000"/>
          <w:sz w:val="16"/>
          <w:szCs w:val="22"/>
        </w:rPr>
        <w:t>, R., M. L. West 1965.</w:t>
      </w:r>
      <w:proofErr w:type="gramEnd"/>
      <w:r w:rsidRPr="00DD0D4A">
        <w:rPr>
          <w:rFonts w:asciiTheme="minorHAnsi" w:hAnsiTheme="minorHAnsi"/>
          <w:color w:val="000000"/>
          <w:sz w:val="16"/>
          <w:szCs w:val="22"/>
        </w:rPr>
        <w:t xml:space="preserve"> </w:t>
      </w:r>
      <w:proofErr w:type="gramStart"/>
      <w:r w:rsidRPr="00DD0D4A">
        <w:rPr>
          <w:rFonts w:asciiTheme="minorHAnsi" w:hAnsiTheme="minorHAnsi"/>
          <w:color w:val="000000"/>
          <w:sz w:val="16"/>
          <w:szCs w:val="22"/>
        </w:rPr>
        <w:t xml:space="preserve">„The wedding of </w:t>
      </w:r>
      <w:proofErr w:type="spellStart"/>
      <w:r w:rsidRPr="00DD0D4A">
        <w:rPr>
          <w:rFonts w:asciiTheme="minorHAnsi" w:hAnsiTheme="minorHAnsi"/>
          <w:color w:val="000000"/>
          <w:sz w:val="16"/>
          <w:szCs w:val="22"/>
        </w:rPr>
        <w:t>Ceyx</w:t>
      </w:r>
      <w:proofErr w:type="spellEnd"/>
      <w:r w:rsidRPr="00DD0D4A">
        <w:rPr>
          <w:rFonts w:asciiTheme="minorHAnsi" w:hAnsiTheme="minorHAnsi"/>
          <w:color w:val="000000"/>
          <w:sz w:val="16"/>
          <w:szCs w:val="22"/>
        </w:rPr>
        <w:t xml:space="preserve">“, </w:t>
      </w:r>
      <w:r w:rsidRPr="00DD0D4A">
        <w:rPr>
          <w:rFonts w:asciiTheme="minorHAnsi" w:hAnsiTheme="minorHAnsi"/>
          <w:i/>
          <w:iCs/>
          <w:color w:val="000000"/>
          <w:sz w:val="16"/>
          <w:szCs w:val="22"/>
          <w:lang w:val="de-DE"/>
        </w:rPr>
        <w:t>Rheinisches Museum f</w:t>
      </w:r>
      <w:proofErr w:type="spellStart"/>
      <w:r w:rsidRPr="00DD0D4A">
        <w:rPr>
          <w:rFonts w:asciiTheme="minorHAnsi" w:hAnsiTheme="minorHAnsi"/>
          <w:i/>
          <w:iCs/>
          <w:color w:val="000000"/>
          <w:sz w:val="16"/>
          <w:szCs w:val="22"/>
        </w:rPr>
        <w:t>ür</w:t>
      </w:r>
      <w:proofErr w:type="spellEnd"/>
      <w:r w:rsidRPr="00DD0D4A">
        <w:rPr>
          <w:rFonts w:asciiTheme="minorHAnsi" w:hAnsiTheme="minorHAnsi"/>
          <w:i/>
          <w:iCs/>
          <w:color w:val="000000"/>
          <w:sz w:val="16"/>
          <w:szCs w:val="22"/>
        </w:rPr>
        <w:t xml:space="preserve"> </w:t>
      </w:r>
      <w:proofErr w:type="spellStart"/>
      <w:r w:rsidRPr="00DD0D4A">
        <w:rPr>
          <w:rFonts w:asciiTheme="minorHAnsi" w:hAnsiTheme="minorHAnsi"/>
          <w:i/>
          <w:iCs/>
          <w:color w:val="000000"/>
          <w:sz w:val="16"/>
          <w:szCs w:val="22"/>
        </w:rPr>
        <w:t>Philologie</w:t>
      </w:r>
      <w:proofErr w:type="spellEnd"/>
      <w:r w:rsidRPr="00DD0D4A">
        <w:rPr>
          <w:rFonts w:asciiTheme="minorHAnsi" w:hAnsiTheme="minorHAnsi"/>
          <w:color w:val="000000"/>
          <w:sz w:val="16"/>
          <w:szCs w:val="22"/>
        </w:rPr>
        <w:t xml:space="preserve"> 108: 300–317.</w:t>
      </w:r>
      <w:proofErr w:type="gramEnd"/>
    </w:p>
    <w:p w14:paraId="501D3DDB"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gramStart"/>
      <w:r w:rsidRPr="00DD0D4A">
        <w:rPr>
          <w:rFonts w:asciiTheme="minorHAnsi" w:hAnsiTheme="minorHAnsi"/>
          <w:color w:val="000000"/>
          <w:sz w:val="16"/>
          <w:szCs w:val="22"/>
        </w:rPr>
        <w:t>Pickard-Cambridge, A. W. 1962.</w:t>
      </w:r>
      <w:proofErr w:type="gramEnd"/>
      <w:r w:rsidRPr="00DD0D4A">
        <w:rPr>
          <w:rFonts w:asciiTheme="minorHAnsi" w:hAnsiTheme="minorHAnsi"/>
          <w:color w:val="000000"/>
          <w:sz w:val="16"/>
          <w:szCs w:val="22"/>
        </w:rPr>
        <w:t xml:space="preserve"> </w:t>
      </w:r>
      <w:proofErr w:type="gramStart"/>
      <w:r w:rsidRPr="00DD0D4A">
        <w:rPr>
          <w:rFonts w:asciiTheme="minorHAnsi" w:hAnsiTheme="minorHAnsi"/>
          <w:i/>
          <w:iCs/>
          <w:color w:val="000000"/>
          <w:sz w:val="16"/>
          <w:szCs w:val="22"/>
        </w:rPr>
        <w:t>Dithyramb tragedy and comedy</w:t>
      </w:r>
      <w:r w:rsidRPr="00DD0D4A">
        <w:rPr>
          <w:rFonts w:asciiTheme="minorHAnsi" w:hAnsiTheme="minorHAnsi"/>
          <w:color w:val="000000"/>
          <w:sz w:val="16"/>
          <w:szCs w:val="22"/>
        </w:rPr>
        <w:t>.</w:t>
      </w:r>
      <w:proofErr w:type="gramEnd"/>
      <w:r w:rsidRPr="00DD0D4A">
        <w:rPr>
          <w:rFonts w:asciiTheme="minorHAnsi" w:hAnsiTheme="minorHAnsi"/>
          <w:color w:val="000000"/>
          <w:sz w:val="16"/>
          <w:szCs w:val="22"/>
        </w:rPr>
        <w:t xml:space="preserve"> 2. </w:t>
      </w:r>
      <w:proofErr w:type="gramStart"/>
      <w:r w:rsidRPr="00DD0D4A">
        <w:rPr>
          <w:rFonts w:asciiTheme="minorHAnsi" w:hAnsiTheme="minorHAnsi"/>
          <w:color w:val="000000"/>
          <w:sz w:val="16"/>
          <w:szCs w:val="22"/>
        </w:rPr>
        <w:t>ed</w:t>
      </w:r>
      <w:proofErr w:type="gramEnd"/>
      <w:r w:rsidRPr="00DD0D4A">
        <w:rPr>
          <w:rFonts w:asciiTheme="minorHAnsi" w:hAnsiTheme="minorHAnsi"/>
          <w:color w:val="000000"/>
          <w:sz w:val="16"/>
          <w:szCs w:val="22"/>
        </w:rPr>
        <w:t>., rev. Oxford.</w:t>
      </w:r>
    </w:p>
    <w:p w14:paraId="0CDADD05"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DD0D4A">
        <w:rPr>
          <w:rFonts w:asciiTheme="minorHAnsi" w:hAnsiTheme="minorHAnsi"/>
          <w:color w:val="000000"/>
          <w:sz w:val="16"/>
          <w:szCs w:val="22"/>
        </w:rPr>
        <w:t xml:space="preserve">Porter, J. 2009. „Rhetoric, aesthetics, and the voice“, </w:t>
      </w:r>
      <w:r w:rsidRPr="00DD0D4A">
        <w:rPr>
          <w:rFonts w:asciiTheme="minorHAnsi" w:hAnsiTheme="minorHAnsi"/>
          <w:i/>
          <w:iCs/>
          <w:color w:val="000000"/>
          <w:sz w:val="16"/>
          <w:szCs w:val="22"/>
        </w:rPr>
        <w:t>Cambridge Companion to Ancient Rhetoric</w:t>
      </w:r>
      <w:r w:rsidRPr="00DD0D4A">
        <w:rPr>
          <w:rFonts w:asciiTheme="minorHAnsi" w:hAnsiTheme="minorHAnsi"/>
          <w:color w:val="000000"/>
          <w:sz w:val="16"/>
          <w:szCs w:val="22"/>
        </w:rPr>
        <w:t>, ed. by E. Gunderson, 92–108. Cambridge.</w:t>
      </w:r>
    </w:p>
    <w:p w14:paraId="435DAFDB"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DD0D4A">
        <w:rPr>
          <w:rFonts w:asciiTheme="minorHAnsi" w:hAnsiTheme="minorHAnsi"/>
          <w:color w:val="000000"/>
          <w:sz w:val="16"/>
          <w:szCs w:val="22"/>
          <w:lang w:val="de-DE"/>
        </w:rPr>
        <w:t>Radermacher, L. (</w:t>
      </w:r>
      <w:proofErr w:type="spellStart"/>
      <w:r w:rsidRPr="00DD0D4A">
        <w:rPr>
          <w:rFonts w:asciiTheme="minorHAnsi" w:hAnsiTheme="minorHAnsi"/>
          <w:color w:val="000000"/>
          <w:sz w:val="16"/>
          <w:szCs w:val="22"/>
          <w:lang w:val="de-DE"/>
        </w:rPr>
        <w:t>hg</w:t>
      </w:r>
      <w:proofErr w:type="spellEnd"/>
      <w:r w:rsidRPr="00DD0D4A">
        <w:rPr>
          <w:rFonts w:asciiTheme="minorHAnsi" w:hAnsiTheme="minorHAnsi"/>
          <w:color w:val="000000"/>
          <w:sz w:val="16"/>
          <w:szCs w:val="22"/>
          <w:lang w:val="de-DE"/>
        </w:rPr>
        <w:t xml:space="preserve">.) 1951. </w:t>
      </w:r>
      <w:proofErr w:type="spellStart"/>
      <w:r w:rsidRPr="00DD0D4A">
        <w:rPr>
          <w:rFonts w:asciiTheme="minorHAnsi" w:hAnsiTheme="minorHAnsi"/>
          <w:i/>
          <w:iCs/>
          <w:color w:val="000000"/>
          <w:sz w:val="16"/>
          <w:szCs w:val="22"/>
          <w:lang w:val="de-DE"/>
        </w:rPr>
        <w:t>Artium</w:t>
      </w:r>
      <w:proofErr w:type="spellEnd"/>
      <w:r w:rsidRPr="00DD0D4A">
        <w:rPr>
          <w:rFonts w:asciiTheme="minorHAnsi" w:hAnsiTheme="minorHAnsi"/>
          <w:i/>
          <w:iCs/>
          <w:color w:val="000000"/>
          <w:sz w:val="16"/>
          <w:szCs w:val="22"/>
          <w:lang w:val="de-DE"/>
        </w:rPr>
        <w:t xml:space="preserve"> </w:t>
      </w:r>
      <w:proofErr w:type="spellStart"/>
      <w:r w:rsidRPr="00DD0D4A">
        <w:rPr>
          <w:rFonts w:asciiTheme="minorHAnsi" w:hAnsiTheme="minorHAnsi"/>
          <w:i/>
          <w:iCs/>
          <w:color w:val="000000"/>
          <w:sz w:val="16"/>
          <w:szCs w:val="22"/>
          <w:lang w:val="de-DE"/>
        </w:rPr>
        <w:t>scriptores</w:t>
      </w:r>
      <w:proofErr w:type="spellEnd"/>
      <w:r w:rsidRPr="00DD0D4A">
        <w:rPr>
          <w:rFonts w:asciiTheme="minorHAnsi" w:hAnsiTheme="minorHAnsi"/>
          <w:i/>
          <w:iCs/>
          <w:color w:val="000000"/>
          <w:sz w:val="16"/>
          <w:szCs w:val="22"/>
          <w:lang w:val="de-DE"/>
        </w:rPr>
        <w:t>: Reste der voraristotelischen Rhetorik</w:t>
      </w:r>
      <w:r w:rsidRPr="00DD0D4A">
        <w:rPr>
          <w:rFonts w:asciiTheme="minorHAnsi" w:hAnsiTheme="minorHAnsi"/>
          <w:color w:val="000000"/>
          <w:sz w:val="16"/>
          <w:szCs w:val="22"/>
        </w:rPr>
        <w:t>. Wien.</w:t>
      </w:r>
    </w:p>
    <w:p w14:paraId="7C303062"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DD0D4A">
        <w:rPr>
          <w:rFonts w:asciiTheme="minorHAnsi" w:hAnsiTheme="minorHAnsi"/>
          <w:color w:val="000000"/>
          <w:sz w:val="16"/>
          <w:szCs w:val="22"/>
        </w:rPr>
        <w:t>Rostagni</w:t>
      </w:r>
      <w:proofErr w:type="spellEnd"/>
      <w:r w:rsidRPr="00DD0D4A">
        <w:rPr>
          <w:rFonts w:asciiTheme="minorHAnsi" w:hAnsiTheme="minorHAnsi"/>
          <w:color w:val="000000"/>
          <w:sz w:val="16"/>
          <w:szCs w:val="22"/>
        </w:rPr>
        <w:t>, A. 1957.</w:t>
      </w:r>
      <w:proofErr w:type="gramEnd"/>
      <w:r w:rsidRPr="00DD0D4A">
        <w:rPr>
          <w:rFonts w:asciiTheme="minorHAnsi" w:hAnsiTheme="minorHAnsi"/>
          <w:color w:val="000000"/>
          <w:sz w:val="16"/>
          <w:szCs w:val="22"/>
        </w:rPr>
        <w:t xml:space="preserve"> „</w:t>
      </w:r>
      <w:r w:rsidRPr="00DD0D4A">
        <w:rPr>
          <w:rFonts w:asciiTheme="minorHAnsi" w:hAnsiTheme="minorHAnsi"/>
          <w:color w:val="000000"/>
          <w:sz w:val="16"/>
          <w:szCs w:val="22"/>
          <w:lang w:val="it-IT"/>
        </w:rPr>
        <w:t xml:space="preserve">Autonomia e svolgimento </w:t>
      </w:r>
      <w:proofErr w:type="gramStart"/>
      <w:r w:rsidRPr="00DD0D4A">
        <w:rPr>
          <w:rFonts w:asciiTheme="minorHAnsi" w:hAnsiTheme="minorHAnsi"/>
          <w:color w:val="000000"/>
          <w:sz w:val="16"/>
          <w:szCs w:val="22"/>
          <w:lang w:val="it-IT"/>
        </w:rPr>
        <w:t>della</w:t>
      </w:r>
      <w:proofErr w:type="gramEnd"/>
      <w:r w:rsidRPr="00DD0D4A">
        <w:rPr>
          <w:rFonts w:asciiTheme="minorHAnsi" w:hAnsiTheme="minorHAnsi"/>
          <w:color w:val="000000"/>
          <w:sz w:val="16"/>
          <w:szCs w:val="22"/>
          <w:lang w:val="it-IT"/>
        </w:rPr>
        <w:t xml:space="preserve"> letteratura greca di Sicilia</w:t>
      </w:r>
      <w:r w:rsidRPr="00DD0D4A">
        <w:rPr>
          <w:rFonts w:asciiTheme="minorHAnsi" w:hAnsiTheme="minorHAnsi"/>
          <w:color w:val="000000"/>
          <w:sz w:val="16"/>
          <w:szCs w:val="22"/>
        </w:rPr>
        <w:t xml:space="preserve">“, </w:t>
      </w:r>
      <w:proofErr w:type="spellStart"/>
      <w:r w:rsidRPr="00DD0D4A">
        <w:rPr>
          <w:rFonts w:asciiTheme="minorHAnsi" w:hAnsiTheme="minorHAnsi"/>
          <w:i/>
          <w:iCs/>
          <w:color w:val="000000"/>
          <w:sz w:val="16"/>
          <w:szCs w:val="22"/>
          <w:lang w:val="es-ES_tradnl"/>
        </w:rPr>
        <w:t>Kokalos</w:t>
      </w:r>
      <w:proofErr w:type="spellEnd"/>
      <w:r w:rsidRPr="00DD0D4A">
        <w:rPr>
          <w:rFonts w:asciiTheme="minorHAnsi" w:hAnsiTheme="minorHAnsi"/>
          <w:color w:val="000000"/>
          <w:sz w:val="16"/>
          <w:szCs w:val="22"/>
        </w:rPr>
        <w:t xml:space="preserve"> 3: 3–17.</w:t>
      </w:r>
    </w:p>
    <w:p w14:paraId="5FBD18E9"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lang w:val="nl-NL"/>
        </w:rPr>
        <w:t>Rotstein</w:t>
      </w:r>
      <w:proofErr w:type="spellEnd"/>
      <w:r w:rsidRPr="00DD0D4A">
        <w:rPr>
          <w:rFonts w:asciiTheme="minorHAnsi" w:hAnsiTheme="minorHAnsi"/>
          <w:color w:val="000000"/>
          <w:sz w:val="16"/>
          <w:szCs w:val="22"/>
          <w:lang w:val="nl-NL"/>
        </w:rPr>
        <w:t xml:space="preserve">, A. 2010. </w:t>
      </w:r>
      <w:proofErr w:type="gramStart"/>
      <w:r w:rsidRPr="00DD0D4A">
        <w:rPr>
          <w:rFonts w:asciiTheme="minorHAnsi" w:hAnsiTheme="minorHAnsi"/>
          <w:i/>
          <w:iCs/>
          <w:color w:val="000000"/>
          <w:sz w:val="16"/>
          <w:szCs w:val="22"/>
        </w:rPr>
        <w:t xml:space="preserve">The idea of </w:t>
      </w:r>
      <w:proofErr w:type="spellStart"/>
      <w:r w:rsidRPr="00DD0D4A">
        <w:rPr>
          <w:rFonts w:asciiTheme="minorHAnsi" w:hAnsiTheme="minorHAnsi"/>
          <w:i/>
          <w:iCs/>
          <w:color w:val="000000"/>
          <w:sz w:val="16"/>
          <w:szCs w:val="22"/>
        </w:rPr>
        <w:t>iambos</w:t>
      </w:r>
      <w:proofErr w:type="spellEnd"/>
      <w:r w:rsidRPr="00DD0D4A">
        <w:rPr>
          <w:rFonts w:asciiTheme="minorHAnsi" w:hAnsiTheme="minorHAnsi"/>
          <w:color w:val="000000"/>
          <w:sz w:val="16"/>
          <w:szCs w:val="22"/>
          <w:lang w:val="da-DK"/>
        </w:rPr>
        <w:t>.</w:t>
      </w:r>
      <w:proofErr w:type="gramEnd"/>
      <w:r w:rsidRPr="00DD0D4A">
        <w:rPr>
          <w:rFonts w:asciiTheme="minorHAnsi" w:hAnsiTheme="minorHAnsi"/>
          <w:color w:val="000000"/>
          <w:sz w:val="16"/>
          <w:szCs w:val="22"/>
          <w:lang w:val="da-DK"/>
        </w:rPr>
        <w:t xml:space="preserve"> Oxford [</w:t>
      </w:r>
      <w:proofErr w:type="spellStart"/>
      <w:r w:rsidRPr="00DD0D4A">
        <w:rPr>
          <w:rFonts w:asciiTheme="minorHAnsi" w:hAnsiTheme="minorHAnsi"/>
          <w:color w:val="000000"/>
          <w:sz w:val="16"/>
          <w:szCs w:val="22"/>
          <w:lang w:val="da-DK"/>
        </w:rPr>
        <w:t>e.a</w:t>
      </w:r>
      <w:proofErr w:type="spellEnd"/>
      <w:r w:rsidRPr="00DD0D4A">
        <w:rPr>
          <w:rFonts w:asciiTheme="minorHAnsi" w:hAnsiTheme="minorHAnsi"/>
          <w:color w:val="000000"/>
          <w:sz w:val="16"/>
          <w:szCs w:val="22"/>
          <w:lang w:val="da-DK"/>
        </w:rPr>
        <w:t>.].</w:t>
      </w:r>
    </w:p>
    <w:p w14:paraId="74717F7A"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DD0D4A">
        <w:rPr>
          <w:rFonts w:asciiTheme="minorHAnsi" w:hAnsiTheme="minorHAnsi"/>
          <w:color w:val="000000"/>
          <w:sz w:val="16"/>
          <w:szCs w:val="22"/>
          <w:lang w:val="nl-NL"/>
        </w:rPr>
        <w:t xml:space="preserve">Wankel, H. 1976. </w:t>
      </w:r>
      <w:proofErr w:type="spellStart"/>
      <w:r w:rsidRPr="00DD0D4A">
        <w:rPr>
          <w:rFonts w:asciiTheme="minorHAnsi" w:hAnsiTheme="minorHAnsi"/>
          <w:i/>
          <w:iCs/>
          <w:color w:val="000000"/>
          <w:sz w:val="16"/>
          <w:szCs w:val="22"/>
          <w:lang w:val="da-DK"/>
        </w:rPr>
        <w:t>Demosthenes</w:t>
      </w:r>
      <w:proofErr w:type="spellEnd"/>
      <w:r w:rsidRPr="00DD0D4A">
        <w:rPr>
          <w:rFonts w:asciiTheme="minorHAnsi" w:hAnsiTheme="minorHAnsi"/>
          <w:i/>
          <w:iCs/>
          <w:color w:val="000000"/>
          <w:sz w:val="16"/>
          <w:szCs w:val="22"/>
          <w:lang w:val="da-DK"/>
        </w:rPr>
        <w:t>, Rede f</w:t>
      </w:r>
      <w:r w:rsidRPr="00DD0D4A">
        <w:rPr>
          <w:rFonts w:asciiTheme="minorHAnsi" w:hAnsiTheme="minorHAnsi"/>
          <w:i/>
          <w:iCs/>
          <w:color w:val="000000"/>
          <w:sz w:val="16"/>
          <w:szCs w:val="22"/>
        </w:rPr>
        <w:t>ü</w:t>
      </w:r>
      <w:r w:rsidRPr="00DD0D4A">
        <w:rPr>
          <w:rFonts w:asciiTheme="minorHAnsi" w:hAnsiTheme="minorHAnsi"/>
          <w:i/>
          <w:iCs/>
          <w:color w:val="000000"/>
          <w:sz w:val="16"/>
          <w:szCs w:val="22"/>
          <w:lang w:val="it-IT"/>
        </w:rPr>
        <w:t xml:space="preserve">r </w:t>
      </w:r>
      <w:proofErr w:type="spellStart"/>
      <w:r w:rsidRPr="00DD0D4A">
        <w:rPr>
          <w:rFonts w:asciiTheme="minorHAnsi" w:hAnsiTheme="minorHAnsi"/>
          <w:i/>
          <w:iCs/>
          <w:color w:val="000000"/>
          <w:sz w:val="16"/>
          <w:szCs w:val="22"/>
          <w:lang w:val="it-IT"/>
        </w:rPr>
        <w:t>Ktesiphon</w:t>
      </w:r>
      <w:proofErr w:type="spellEnd"/>
      <w:r w:rsidRPr="00DD0D4A">
        <w:rPr>
          <w:rFonts w:asciiTheme="minorHAnsi" w:hAnsiTheme="minorHAnsi"/>
          <w:i/>
          <w:iCs/>
          <w:color w:val="000000"/>
          <w:sz w:val="16"/>
          <w:szCs w:val="22"/>
          <w:lang w:val="it-IT"/>
        </w:rPr>
        <w:t xml:space="preserve"> </w:t>
      </w:r>
      <w:r w:rsidRPr="00DD0D4A">
        <w:rPr>
          <w:rFonts w:asciiTheme="minorHAnsi" w:hAnsiTheme="minorHAnsi"/>
          <w:i/>
          <w:iCs/>
          <w:color w:val="000000"/>
          <w:sz w:val="16"/>
          <w:szCs w:val="22"/>
        </w:rPr>
        <w:t>ü</w:t>
      </w:r>
      <w:proofErr w:type="spellStart"/>
      <w:r w:rsidRPr="00DD0D4A">
        <w:rPr>
          <w:rFonts w:asciiTheme="minorHAnsi" w:hAnsiTheme="minorHAnsi"/>
          <w:i/>
          <w:iCs/>
          <w:color w:val="000000"/>
          <w:sz w:val="16"/>
          <w:szCs w:val="22"/>
          <w:lang w:val="de-DE"/>
        </w:rPr>
        <w:t>ber</w:t>
      </w:r>
      <w:proofErr w:type="spellEnd"/>
      <w:r w:rsidRPr="00DD0D4A">
        <w:rPr>
          <w:rFonts w:asciiTheme="minorHAnsi" w:hAnsiTheme="minorHAnsi"/>
          <w:i/>
          <w:iCs/>
          <w:color w:val="000000"/>
          <w:sz w:val="16"/>
          <w:szCs w:val="22"/>
          <w:lang w:val="de-DE"/>
        </w:rPr>
        <w:t xml:space="preserve"> den Kranz, erl. und mit einer </w:t>
      </w:r>
      <w:proofErr w:type="spellStart"/>
      <w:r w:rsidRPr="00DD0D4A">
        <w:rPr>
          <w:rFonts w:asciiTheme="minorHAnsi" w:hAnsiTheme="minorHAnsi"/>
          <w:i/>
          <w:iCs/>
          <w:color w:val="000000"/>
          <w:sz w:val="16"/>
          <w:szCs w:val="22"/>
          <w:lang w:val="de-DE"/>
        </w:rPr>
        <w:t>Einl</w:t>
      </w:r>
      <w:proofErr w:type="spellEnd"/>
      <w:r w:rsidRPr="00DD0D4A">
        <w:rPr>
          <w:rFonts w:asciiTheme="minorHAnsi" w:hAnsiTheme="minorHAnsi"/>
          <w:i/>
          <w:iCs/>
          <w:color w:val="000000"/>
          <w:sz w:val="16"/>
          <w:szCs w:val="22"/>
          <w:lang w:val="de-DE"/>
        </w:rPr>
        <w:t>.</w:t>
      </w:r>
      <w:r w:rsidRPr="00DD0D4A">
        <w:rPr>
          <w:rFonts w:asciiTheme="minorHAnsi" w:hAnsiTheme="minorHAnsi"/>
          <w:color w:val="000000"/>
          <w:sz w:val="16"/>
          <w:szCs w:val="22"/>
          <w:lang w:val="nl-NL"/>
        </w:rPr>
        <w:t xml:space="preserve"> </w:t>
      </w:r>
      <w:proofErr w:type="spellStart"/>
      <w:r w:rsidRPr="00DD0D4A">
        <w:rPr>
          <w:rFonts w:asciiTheme="minorHAnsi" w:hAnsiTheme="minorHAnsi"/>
          <w:color w:val="000000"/>
          <w:sz w:val="16"/>
          <w:szCs w:val="22"/>
          <w:lang w:val="nl-NL"/>
        </w:rPr>
        <w:t>Bd</w:t>
      </w:r>
      <w:proofErr w:type="spellEnd"/>
      <w:r w:rsidRPr="00DD0D4A">
        <w:rPr>
          <w:rFonts w:asciiTheme="minorHAnsi" w:hAnsiTheme="minorHAnsi"/>
          <w:color w:val="000000"/>
          <w:sz w:val="16"/>
          <w:szCs w:val="22"/>
          <w:lang w:val="nl-NL"/>
        </w:rPr>
        <w:t>. 2. Heidelberg.</w:t>
      </w:r>
    </w:p>
    <w:p w14:paraId="41346D8C"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gramStart"/>
      <w:r w:rsidRPr="00DD0D4A">
        <w:rPr>
          <w:rFonts w:asciiTheme="minorHAnsi" w:hAnsiTheme="minorHAnsi"/>
          <w:color w:val="000000"/>
          <w:sz w:val="16"/>
          <w:szCs w:val="22"/>
        </w:rPr>
        <w:lastRenderedPageBreak/>
        <w:t>West, M. L. 1978.</w:t>
      </w:r>
      <w:proofErr w:type="gramEnd"/>
      <w:r w:rsidRPr="00DD0D4A">
        <w:rPr>
          <w:rFonts w:asciiTheme="minorHAnsi" w:hAnsiTheme="minorHAnsi"/>
          <w:color w:val="000000"/>
          <w:sz w:val="16"/>
          <w:szCs w:val="22"/>
        </w:rPr>
        <w:t xml:space="preserve"> </w:t>
      </w:r>
      <w:r w:rsidRPr="00DD0D4A">
        <w:rPr>
          <w:rFonts w:asciiTheme="minorHAnsi" w:hAnsiTheme="minorHAnsi"/>
          <w:i/>
          <w:iCs/>
          <w:color w:val="000000"/>
          <w:sz w:val="16"/>
          <w:szCs w:val="22"/>
        </w:rPr>
        <w:t xml:space="preserve">Hesiod, Works and Days, ed. with </w:t>
      </w:r>
      <w:proofErr w:type="spellStart"/>
      <w:r w:rsidRPr="00DD0D4A">
        <w:rPr>
          <w:rFonts w:asciiTheme="minorHAnsi" w:hAnsiTheme="minorHAnsi"/>
          <w:i/>
          <w:iCs/>
          <w:color w:val="000000"/>
          <w:sz w:val="16"/>
          <w:szCs w:val="22"/>
        </w:rPr>
        <w:t>proleg</w:t>
      </w:r>
      <w:proofErr w:type="spellEnd"/>
      <w:r w:rsidRPr="00DD0D4A">
        <w:rPr>
          <w:rFonts w:asciiTheme="minorHAnsi" w:hAnsiTheme="minorHAnsi"/>
          <w:i/>
          <w:iCs/>
          <w:color w:val="000000"/>
          <w:sz w:val="16"/>
          <w:szCs w:val="22"/>
        </w:rPr>
        <w:t xml:space="preserve">. </w:t>
      </w:r>
      <w:proofErr w:type="gramStart"/>
      <w:r w:rsidRPr="00DD0D4A">
        <w:rPr>
          <w:rFonts w:asciiTheme="minorHAnsi" w:hAnsiTheme="minorHAnsi"/>
          <w:i/>
          <w:iCs/>
          <w:color w:val="000000"/>
          <w:sz w:val="16"/>
          <w:szCs w:val="22"/>
        </w:rPr>
        <w:t>and</w:t>
      </w:r>
      <w:proofErr w:type="gramEnd"/>
      <w:r w:rsidRPr="00DD0D4A">
        <w:rPr>
          <w:rFonts w:asciiTheme="minorHAnsi" w:hAnsiTheme="minorHAnsi"/>
          <w:i/>
          <w:iCs/>
          <w:color w:val="000000"/>
          <w:sz w:val="16"/>
          <w:szCs w:val="22"/>
        </w:rPr>
        <w:t xml:space="preserve"> comm.</w:t>
      </w:r>
      <w:r w:rsidRPr="00DD0D4A">
        <w:rPr>
          <w:rFonts w:asciiTheme="minorHAnsi" w:hAnsiTheme="minorHAnsi"/>
          <w:color w:val="000000"/>
          <w:sz w:val="16"/>
          <w:szCs w:val="22"/>
          <w:lang w:val="da-DK"/>
        </w:rPr>
        <w:t xml:space="preserve"> Oxford [</w:t>
      </w:r>
      <w:proofErr w:type="spellStart"/>
      <w:r w:rsidRPr="00DD0D4A">
        <w:rPr>
          <w:rFonts w:asciiTheme="minorHAnsi" w:hAnsiTheme="minorHAnsi"/>
          <w:color w:val="000000"/>
          <w:sz w:val="16"/>
          <w:szCs w:val="22"/>
          <w:lang w:val="da-DK"/>
        </w:rPr>
        <w:t>e.a</w:t>
      </w:r>
      <w:proofErr w:type="spellEnd"/>
      <w:r w:rsidRPr="00DD0D4A">
        <w:rPr>
          <w:rFonts w:asciiTheme="minorHAnsi" w:hAnsiTheme="minorHAnsi"/>
          <w:color w:val="000000"/>
          <w:sz w:val="16"/>
          <w:szCs w:val="22"/>
          <w:lang w:val="da-DK"/>
        </w:rPr>
        <w:t>.].</w:t>
      </w:r>
    </w:p>
    <w:p w14:paraId="135B6203"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DD0D4A">
        <w:rPr>
          <w:rFonts w:asciiTheme="minorHAnsi" w:hAnsiTheme="minorHAnsi"/>
          <w:color w:val="000000"/>
          <w:sz w:val="16"/>
          <w:szCs w:val="22"/>
        </w:rPr>
        <w:t>Willi</w:t>
      </w:r>
      <w:proofErr w:type="spellEnd"/>
      <w:r w:rsidRPr="00DD0D4A">
        <w:rPr>
          <w:rFonts w:asciiTheme="minorHAnsi" w:hAnsiTheme="minorHAnsi"/>
          <w:color w:val="000000"/>
          <w:sz w:val="16"/>
          <w:szCs w:val="22"/>
        </w:rPr>
        <w:t>, A. 2008.</w:t>
      </w:r>
      <w:proofErr w:type="gramEnd"/>
      <w:r w:rsidRPr="00DD0D4A">
        <w:rPr>
          <w:rFonts w:asciiTheme="minorHAnsi" w:hAnsiTheme="minorHAnsi"/>
          <w:color w:val="000000"/>
          <w:sz w:val="16"/>
          <w:szCs w:val="22"/>
        </w:rPr>
        <w:t xml:space="preserve"> </w:t>
      </w:r>
      <w:proofErr w:type="spellStart"/>
      <w:r w:rsidRPr="00DD0D4A">
        <w:rPr>
          <w:rFonts w:asciiTheme="minorHAnsi" w:hAnsiTheme="minorHAnsi"/>
          <w:i/>
          <w:iCs/>
          <w:color w:val="000000"/>
          <w:sz w:val="16"/>
          <w:szCs w:val="22"/>
          <w:lang w:val="de-DE"/>
        </w:rPr>
        <w:t>Sikelismos</w:t>
      </w:r>
      <w:proofErr w:type="spellEnd"/>
      <w:r w:rsidRPr="00DD0D4A">
        <w:rPr>
          <w:rFonts w:asciiTheme="minorHAnsi" w:hAnsiTheme="minorHAnsi"/>
          <w:i/>
          <w:iCs/>
          <w:color w:val="000000"/>
          <w:sz w:val="16"/>
          <w:szCs w:val="22"/>
          <w:lang w:val="de-DE"/>
        </w:rPr>
        <w:t>: Sprache, Literatur und Gesellschaft im griechischen Sizilien (8.-5. Jh. v. Chr.)</w:t>
      </w:r>
      <w:r w:rsidRPr="00DD0D4A">
        <w:rPr>
          <w:rFonts w:asciiTheme="minorHAnsi" w:hAnsiTheme="minorHAnsi"/>
          <w:color w:val="000000"/>
          <w:sz w:val="16"/>
          <w:szCs w:val="22"/>
        </w:rPr>
        <w:t>. Basel.</w:t>
      </w:r>
    </w:p>
    <w:p w14:paraId="33CBD1E0" w14:textId="77777777"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lang w:val="de-DE"/>
        </w:rPr>
      </w:pPr>
      <w:r w:rsidRPr="00DD0D4A">
        <w:rPr>
          <w:rFonts w:asciiTheme="minorHAnsi" w:hAnsiTheme="minorHAnsi"/>
          <w:color w:val="000000"/>
          <w:sz w:val="16"/>
          <w:szCs w:val="22"/>
          <w:lang w:val="de-DE"/>
        </w:rPr>
        <w:t>Zimmermann, B. (</w:t>
      </w:r>
      <w:proofErr w:type="spellStart"/>
      <w:r w:rsidRPr="00DD0D4A">
        <w:rPr>
          <w:rFonts w:asciiTheme="minorHAnsi" w:hAnsiTheme="minorHAnsi"/>
          <w:color w:val="000000"/>
          <w:sz w:val="16"/>
          <w:szCs w:val="22"/>
          <w:lang w:val="de-DE"/>
        </w:rPr>
        <w:t>hg</w:t>
      </w:r>
      <w:proofErr w:type="spellEnd"/>
      <w:r w:rsidRPr="00DD0D4A">
        <w:rPr>
          <w:rFonts w:asciiTheme="minorHAnsi" w:hAnsiTheme="minorHAnsi"/>
          <w:color w:val="000000"/>
          <w:sz w:val="16"/>
          <w:szCs w:val="22"/>
          <w:lang w:val="de-DE"/>
        </w:rPr>
        <w:t xml:space="preserve">.) 2011. </w:t>
      </w:r>
      <w:r w:rsidRPr="00DD0D4A">
        <w:rPr>
          <w:rFonts w:asciiTheme="minorHAnsi" w:hAnsiTheme="minorHAnsi"/>
          <w:i/>
          <w:iCs/>
          <w:color w:val="000000"/>
          <w:sz w:val="16"/>
          <w:szCs w:val="22"/>
          <w:lang w:val="de-DE"/>
        </w:rPr>
        <w:t>Handbuch der griechischen Literatur der Antike: Die Literatur der archaischen und klassischen Zeit</w:t>
      </w:r>
      <w:r w:rsidRPr="00DD0D4A">
        <w:rPr>
          <w:rFonts w:asciiTheme="minorHAnsi" w:hAnsiTheme="minorHAnsi"/>
          <w:color w:val="000000"/>
          <w:sz w:val="16"/>
          <w:szCs w:val="22"/>
        </w:rPr>
        <w:t xml:space="preserve">. Bd. 1. </w:t>
      </w:r>
      <w:proofErr w:type="spellStart"/>
      <w:r w:rsidRPr="00DD0D4A">
        <w:rPr>
          <w:rFonts w:asciiTheme="minorHAnsi" w:hAnsiTheme="minorHAnsi"/>
          <w:color w:val="000000"/>
          <w:sz w:val="16"/>
          <w:szCs w:val="22"/>
        </w:rPr>
        <w:t>Mü</w:t>
      </w:r>
      <w:r w:rsidRPr="00DD0D4A">
        <w:rPr>
          <w:rFonts w:asciiTheme="minorHAnsi" w:hAnsiTheme="minorHAnsi"/>
          <w:color w:val="000000"/>
          <w:sz w:val="16"/>
          <w:szCs w:val="22"/>
          <w:lang w:val="de-DE"/>
        </w:rPr>
        <w:t>nchen</w:t>
      </w:r>
      <w:proofErr w:type="spellEnd"/>
      <w:r w:rsidRPr="00DD0D4A">
        <w:rPr>
          <w:rFonts w:asciiTheme="minorHAnsi" w:hAnsiTheme="minorHAnsi"/>
          <w:color w:val="000000"/>
          <w:sz w:val="16"/>
          <w:szCs w:val="22"/>
          <w:lang w:val="de-DE"/>
        </w:rPr>
        <w:t>.</w:t>
      </w:r>
    </w:p>
    <w:p w14:paraId="2D3F4E7A"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lang w:val="de-DE"/>
        </w:rPr>
      </w:pPr>
    </w:p>
    <w:p w14:paraId="70B25876"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51E93264" w14:textId="40C80C2A" w:rsidR="00A87817" w:rsidRPr="002F0628" w:rsidRDefault="00DD0D4A"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Pr>
          <w:rFonts w:asciiTheme="minorHAnsi" w:hAnsiTheme="minorHAnsi"/>
          <w:color w:val="000000"/>
          <w:sz w:val="22"/>
          <w:szCs w:val="22"/>
        </w:rPr>
        <w:t xml:space="preserve">Andrea </w:t>
      </w:r>
      <w:proofErr w:type="spellStart"/>
      <w:r w:rsidR="00A87817" w:rsidRPr="002F0628">
        <w:rPr>
          <w:rFonts w:asciiTheme="minorHAnsi" w:hAnsiTheme="minorHAnsi"/>
          <w:color w:val="000000"/>
          <w:sz w:val="22"/>
          <w:szCs w:val="22"/>
          <w:lang w:val="nl-NL"/>
        </w:rPr>
        <w:t>Rotstein</w:t>
      </w:r>
      <w:proofErr w:type="spellEnd"/>
      <w:r>
        <w:rPr>
          <w:rFonts w:asciiTheme="minorHAnsi" w:hAnsiTheme="minorHAnsi"/>
          <w:color w:val="000000"/>
          <w:sz w:val="22"/>
          <w:szCs w:val="22"/>
          <w:lang w:val="nl-NL"/>
        </w:rPr>
        <w:t xml:space="preserve"> (</w:t>
      </w:r>
      <w:r w:rsidR="00A87817" w:rsidRPr="002F0628">
        <w:rPr>
          <w:rFonts w:asciiTheme="minorHAnsi" w:hAnsiTheme="minorHAnsi"/>
          <w:color w:val="000000"/>
          <w:sz w:val="22"/>
          <w:szCs w:val="22"/>
        </w:rPr>
        <w:t>Tel Aviv University</w:t>
      </w:r>
      <w:r>
        <w:rPr>
          <w:rFonts w:asciiTheme="minorHAnsi" w:hAnsiTheme="minorHAnsi"/>
          <w:color w:val="000000"/>
          <w:sz w:val="22"/>
          <w:szCs w:val="22"/>
        </w:rPr>
        <w:t>)</w:t>
      </w:r>
    </w:p>
    <w:p w14:paraId="7A3EF680"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arots@post.tau.ac.il</w:t>
      </w:r>
    </w:p>
    <w:p w14:paraId="5C8373F9"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3A0511D1"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color w:val="000000"/>
          <w:sz w:val="22"/>
          <w:szCs w:val="22"/>
        </w:rPr>
      </w:pPr>
      <w:r w:rsidRPr="002F0628">
        <w:rPr>
          <w:rFonts w:asciiTheme="minorHAnsi" w:hAnsiTheme="minorHAnsi"/>
          <w:b/>
          <w:color w:val="000000"/>
          <w:sz w:val="22"/>
          <w:szCs w:val="22"/>
        </w:rPr>
        <w:t>Literary History on Hellenistic Paros</w:t>
      </w:r>
    </w:p>
    <w:p w14:paraId="6F894A27"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The island of Paros yielded most impressive examples of ancient Greek monumental historiography: the </w:t>
      </w:r>
      <w:proofErr w:type="spellStart"/>
      <w:r w:rsidRPr="002F0628">
        <w:rPr>
          <w:rFonts w:asciiTheme="minorHAnsi" w:hAnsiTheme="minorHAnsi"/>
          <w:color w:val="000000"/>
          <w:sz w:val="22"/>
          <w:szCs w:val="22"/>
        </w:rPr>
        <w:t>Parian</w:t>
      </w:r>
      <w:proofErr w:type="spellEnd"/>
      <w:r w:rsidRPr="002F0628">
        <w:rPr>
          <w:rFonts w:asciiTheme="minorHAnsi" w:hAnsiTheme="minorHAnsi"/>
          <w:color w:val="000000"/>
          <w:sz w:val="22"/>
          <w:szCs w:val="22"/>
        </w:rPr>
        <w:t xml:space="preserve"> Marble (</w:t>
      </w:r>
      <w:proofErr w:type="spellStart"/>
      <w:r w:rsidRPr="002F0628">
        <w:rPr>
          <w:rFonts w:asciiTheme="minorHAnsi" w:hAnsiTheme="minorHAnsi"/>
          <w:color w:val="000000"/>
          <w:sz w:val="22"/>
          <w:szCs w:val="22"/>
        </w:rPr>
        <w:t>FGrH</w:t>
      </w:r>
      <w:proofErr w:type="spellEnd"/>
      <w:r w:rsidRPr="002F0628">
        <w:rPr>
          <w:rFonts w:asciiTheme="minorHAnsi" w:hAnsiTheme="minorHAnsi"/>
          <w:color w:val="000000"/>
          <w:sz w:val="22"/>
          <w:szCs w:val="22"/>
        </w:rPr>
        <w:t xml:space="preserve"> 239; </w:t>
      </w:r>
      <w:proofErr w:type="spellStart"/>
      <w:r w:rsidRPr="002F0628">
        <w:rPr>
          <w:rFonts w:asciiTheme="minorHAnsi" w:hAnsiTheme="minorHAnsi"/>
          <w:color w:val="000000"/>
          <w:sz w:val="22"/>
          <w:szCs w:val="22"/>
        </w:rPr>
        <w:t>Rotstein</w:t>
      </w:r>
      <w:proofErr w:type="spellEnd"/>
      <w:r w:rsidRPr="002F0628">
        <w:rPr>
          <w:rFonts w:asciiTheme="minorHAnsi" w:hAnsiTheme="minorHAnsi"/>
          <w:color w:val="000000"/>
          <w:sz w:val="22"/>
          <w:szCs w:val="22"/>
        </w:rPr>
        <w:t xml:space="preserve"> forthcoming a) and the </w:t>
      </w:r>
      <w:proofErr w:type="spellStart"/>
      <w:r w:rsidRPr="002F0628">
        <w:rPr>
          <w:rFonts w:asciiTheme="minorHAnsi" w:hAnsiTheme="minorHAnsi"/>
          <w:color w:val="000000"/>
          <w:sz w:val="22"/>
          <w:szCs w:val="22"/>
        </w:rPr>
        <w:t>Mnesiepes</w:t>
      </w:r>
      <w:proofErr w:type="spellEnd"/>
      <w:r w:rsidRPr="002F0628">
        <w:rPr>
          <w:rFonts w:asciiTheme="minorHAnsi" w:hAnsiTheme="minorHAnsi"/>
          <w:color w:val="000000"/>
          <w:sz w:val="22"/>
          <w:szCs w:val="22"/>
        </w:rPr>
        <w:t xml:space="preserve"> inscription (SEG 15.517). Both belong to the mid-3rd cent. BCE (</w:t>
      </w:r>
      <w:proofErr w:type="spellStart"/>
      <w:r w:rsidRPr="002F0628">
        <w:rPr>
          <w:rFonts w:asciiTheme="minorHAnsi" w:hAnsiTheme="minorHAnsi"/>
          <w:color w:val="000000"/>
          <w:sz w:val="22"/>
          <w:szCs w:val="22"/>
        </w:rPr>
        <w:t>Rotstein</w:t>
      </w:r>
      <w:proofErr w:type="spellEnd"/>
      <w:r w:rsidRPr="002F0628">
        <w:rPr>
          <w:rFonts w:asciiTheme="minorHAnsi" w:hAnsiTheme="minorHAnsi"/>
          <w:color w:val="000000"/>
          <w:sz w:val="22"/>
          <w:szCs w:val="22"/>
        </w:rPr>
        <w:t xml:space="preserve"> forthcoming b) and are among the earliest representatives of their kinds. By comparing the two inscriptions I shall explore how literary history was practiced on Hellenistic Paros.</w:t>
      </w:r>
    </w:p>
    <w:p w14:paraId="00EEA219"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The </w:t>
      </w:r>
      <w:proofErr w:type="spellStart"/>
      <w:r w:rsidRPr="002F0628">
        <w:rPr>
          <w:rFonts w:asciiTheme="minorHAnsi" w:hAnsiTheme="minorHAnsi"/>
          <w:color w:val="000000"/>
          <w:sz w:val="22"/>
          <w:szCs w:val="22"/>
        </w:rPr>
        <w:t>Parian</w:t>
      </w:r>
      <w:proofErr w:type="spellEnd"/>
      <w:r w:rsidRPr="002F0628">
        <w:rPr>
          <w:rFonts w:asciiTheme="minorHAnsi" w:hAnsiTheme="minorHAnsi"/>
          <w:color w:val="000000"/>
          <w:sz w:val="22"/>
          <w:szCs w:val="22"/>
        </w:rPr>
        <w:t xml:space="preserve"> Marble is a chronological list without narrative, written in a compressed, impersonal and paratactic style. In contrast, the biography of </w:t>
      </w:r>
      <w:proofErr w:type="spellStart"/>
      <w:r w:rsidRPr="002F0628">
        <w:rPr>
          <w:rFonts w:asciiTheme="minorHAnsi" w:hAnsiTheme="minorHAnsi"/>
          <w:color w:val="000000"/>
          <w:sz w:val="22"/>
          <w:szCs w:val="22"/>
        </w:rPr>
        <w:t>Archilochus</w:t>
      </w:r>
      <w:proofErr w:type="spellEnd"/>
      <w:r w:rsidRPr="002F0628">
        <w:rPr>
          <w:rFonts w:asciiTheme="minorHAnsi" w:hAnsiTheme="minorHAnsi"/>
          <w:color w:val="000000"/>
          <w:sz w:val="22"/>
          <w:szCs w:val="22"/>
        </w:rPr>
        <w:t xml:space="preserve"> is a scholarly text that combines narrative with citations from </w:t>
      </w:r>
      <w:proofErr w:type="spellStart"/>
      <w:r w:rsidRPr="002F0628">
        <w:rPr>
          <w:rFonts w:asciiTheme="minorHAnsi" w:hAnsiTheme="minorHAnsi"/>
          <w:color w:val="000000"/>
          <w:sz w:val="22"/>
          <w:szCs w:val="22"/>
        </w:rPr>
        <w:t>Pythian</w:t>
      </w:r>
      <w:proofErr w:type="spellEnd"/>
      <w:r w:rsidRPr="002F0628">
        <w:rPr>
          <w:rFonts w:asciiTheme="minorHAnsi" w:hAnsiTheme="minorHAnsi"/>
          <w:color w:val="000000"/>
          <w:sz w:val="22"/>
          <w:szCs w:val="22"/>
        </w:rPr>
        <w:t xml:space="preserve"> oracles and </w:t>
      </w:r>
      <w:proofErr w:type="spellStart"/>
      <w:r w:rsidRPr="002F0628">
        <w:rPr>
          <w:rFonts w:asciiTheme="minorHAnsi" w:hAnsiTheme="minorHAnsi"/>
          <w:color w:val="000000"/>
          <w:sz w:val="22"/>
          <w:szCs w:val="22"/>
        </w:rPr>
        <w:t>Archilochus</w:t>
      </w:r>
      <w:proofErr w:type="spellEnd"/>
      <w:r w:rsidRPr="002F0628">
        <w:rPr>
          <w:rFonts w:asciiTheme="minorHAnsi" w:hAnsiTheme="minorHAnsi"/>
          <w:color w:val="000000"/>
          <w:sz w:val="22"/>
          <w:szCs w:val="22"/>
          <w:lang w:val="fr-FR"/>
        </w:rPr>
        <w:t xml:space="preserve">’ </w:t>
      </w:r>
      <w:r w:rsidRPr="002F0628">
        <w:rPr>
          <w:rFonts w:asciiTheme="minorHAnsi" w:hAnsiTheme="minorHAnsi"/>
          <w:color w:val="000000"/>
          <w:sz w:val="22"/>
          <w:szCs w:val="22"/>
        </w:rPr>
        <w:t xml:space="preserve">poems. While the </w:t>
      </w:r>
      <w:proofErr w:type="spellStart"/>
      <w:r w:rsidRPr="002F0628">
        <w:rPr>
          <w:rFonts w:asciiTheme="minorHAnsi" w:hAnsiTheme="minorHAnsi"/>
          <w:color w:val="000000"/>
          <w:sz w:val="22"/>
          <w:szCs w:val="22"/>
        </w:rPr>
        <w:t>Parian</w:t>
      </w:r>
      <w:proofErr w:type="spellEnd"/>
      <w:r w:rsidRPr="002F0628">
        <w:rPr>
          <w:rFonts w:asciiTheme="minorHAnsi" w:hAnsiTheme="minorHAnsi"/>
          <w:color w:val="000000"/>
          <w:sz w:val="22"/>
          <w:szCs w:val="22"/>
        </w:rPr>
        <w:t xml:space="preserve"> Marble offers a snapshot of </w:t>
      </w:r>
      <w:proofErr w:type="spellStart"/>
      <w:proofErr w:type="gramStart"/>
      <w:r w:rsidRPr="002F0628">
        <w:rPr>
          <w:rFonts w:asciiTheme="minorHAnsi" w:hAnsiTheme="minorHAnsi"/>
          <w:color w:val="000000"/>
          <w:sz w:val="22"/>
          <w:szCs w:val="22"/>
        </w:rPr>
        <w:t>panhellenic</w:t>
      </w:r>
      <w:proofErr w:type="spellEnd"/>
      <w:proofErr w:type="gramEnd"/>
      <w:r w:rsidRPr="002F0628">
        <w:rPr>
          <w:rFonts w:asciiTheme="minorHAnsi" w:hAnsiTheme="minorHAnsi"/>
          <w:color w:val="000000"/>
          <w:sz w:val="22"/>
          <w:szCs w:val="22"/>
        </w:rPr>
        <w:t xml:space="preserve"> history, the </w:t>
      </w:r>
      <w:proofErr w:type="spellStart"/>
      <w:r w:rsidRPr="002F0628">
        <w:rPr>
          <w:rFonts w:asciiTheme="minorHAnsi" w:hAnsiTheme="minorHAnsi"/>
          <w:color w:val="000000"/>
          <w:sz w:val="22"/>
          <w:szCs w:val="22"/>
        </w:rPr>
        <w:t>Mnesiepes</w:t>
      </w:r>
      <w:proofErr w:type="spellEnd"/>
      <w:r w:rsidRPr="002F0628">
        <w:rPr>
          <w:rFonts w:asciiTheme="minorHAnsi" w:hAnsiTheme="minorHAnsi"/>
          <w:color w:val="000000"/>
          <w:sz w:val="22"/>
          <w:szCs w:val="22"/>
        </w:rPr>
        <w:t xml:space="preserve"> inscription deals with the life of an individual. However, in spite of their different generic frameworks and different levels of resolution, both inscriptions seem to belong to a similar project, namely linking past and present, a project in which poets play an important role. </w:t>
      </w:r>
      <w:proofErr w:type="spellStart"/>
      <w:r w:rsidRPr="002F0628">
        <w:rPr>
          <w:rFonts w:asciiTheme="minorHAnsi" w:hAnsiTheme="minorHAnsi"/>
          <w:color w:val="000000"/>
          <w:sz w:val="22"/>
          <w:szCs w:val="22"/>
        </w:rPr>
        <w:t>Wheareas</w:t>
      </w:r>
      <w:proofErr w:type="spellEnd"/>
      <w:r w:rsidRPr="002F0628">
        <w:rPr>
          <w:rFonts w:asciiTheme="minorHAnsi" w:hAnsiTheme="minorHAnsi"/>
          <w:color w:val="000000"/>
          <w:sz w:val="22"/>
          <w:szCs w:val="22"/>
        </w:rPr>
        <w:t xml:space="preserve"> the </w:t>
      </w:r>
      <w:proofErr w:type="spellStart"/>
      <w:r w:rsidRPr="002F0628">
        <w:rPr>
          <w:rFonts w:asciiTheme="minorHAnsi" w:hAnsiTheme="minorHAnsi"/>
          <w:color w:val="000000"/>
          <w:sz w:val="22"/>
          <w:szCs w:val="22"/>
        </w:rPr>
        <w:t>Mnesiepes</w:t>
      </w:r>
      <w:proofErr w:type="spellEnd"/>
      <w:r w:rsidRPr="002F0628">
        <w:rPr>
          <w:rFonts w:asciiTheme="minorHAnsi" w:hAnsiTheme="minorHAnsi"/>
          <w:color w:val="000000"/>
          <w:sz w:val="22"/>
          <w:szCs w:val="22"/>
        </w:rPr>
        <w:t xml:space="preserve"> inscription focuses on </w:t>
      </w:r>
      <w:proofErr w:type="spellStart"/>
      <w:r w:rsidRPr="002F0628">
        <w:rPr>
          <w:rFonts w:asciiTheme="minorHAnsi" w:hAnsiTheme="minorHAnsi"/>
          <w:color w:val="000000"/>
          <w:sz w:val="22"/>
          <w:szCs w:val="22"/>
        </w:rPr>
        <w:t>Archilochus</w:t>
      </w:r>
      <w:proofErr w:type="spellEnd"/>
      <w:r w:rsidRPr="002F0628">
        <w:rPr>
          <w:rFonts w:asciiTheme="minorHAnsi" w:hAnsiTheme="minorHAnsi"/>
          <w:color w:val="000000"/>
          <w:sz w:val="22"/>
          <w:szCs w:val="22"/>
        </w:rPr>
        <w:t xml:space="preserve">, the most famous </w:t>
      </w:r>
      <w:proofErr w:type="spellStart"/>
      <w:r w:rsidRPr="002F0628">
        <w:rPr>
          <w:rFonts w:asciiTheme="minorHAnsi" w:hAnsiTheme="minorHAnsi"/>
          <w:color w:val="000000"/>
          <w:sz w:val="22"/>
          <w:szCs w:val="22"/>
        </w:rPr>
        <w:t>Parian</w:t>
      </w:r>
      <w:proofErr w:type="spellEnd"/>
      <w:r w:rsidRPr="002F0628">
        <w:rPr>
          <w:rFonts w:asciiTheme="minorHAnsi" w:hAnsiTheme="minorHAnsi"/>
          <w:color w:val="000000"/>
          <w:sz w:val="22"/>
          <w:szCs w:val="22"/>
        </w:rPr>
        <w:t xml:space="preserve"> poet, the </w:t>
      </w:r>
      <w:proofErr w:type="spellStart"/>
      <w:r w:rsidRPr="002F0628">
        <w:rPr>
          <w:rFonts w:asciiTheme="minorHAnsi" w:hAnsiTheme="minorHAnsi"/>
          <w:color w:val="000000"/>
          <w:sz w:val="22"/>
          <w:szCs w:val="22"/>
        </w:rPr>
        <w:t>Parian</w:t>
      </w:r>
      <w:proofErr w:type="spellEnd"/>
      <w:r w:rsidRPr="002F0628">
        <w:rPr>
          <w:rFonts w:asciiTheme="minorHAnsi" w:hAnsiTheme="minorHAnsi"/>
          <w:color w:val="000000"/>
          <w:sz w:val="22"/>
          <w:szCs w:val="22"/>
        </w:rPr>
        <w:t xml:space="preserve"> Marble mentions 31 Greek poets and musicians, a number unprecedented in ancient Greek </w:t>
      </w:r>
      <w:proofErr w:type="spellStart"/>
      <w:r w:rsidRPr="002F0628">
        <w:rPr>
          <w:rFonts w:asciiTheme="minorHAnsi" w:hAnsiTheme="minorHAnsi"/>
          <w:color w:val="000000"/>
          <w:sz w:val="22"/>
          <w:szCs w:val="22"/>
        </w:rPr>
        <w:t>chronography</w:t>
      </w:r>
      <w:proofErr w:type="spellEnd"/>
      <w:r w:rsidRPr="002F0628">
        <w:rPr>
          <w:rFonts w:asciiTheme="minorHAnsi" w:hAnsiTheme="minorHAnsi"/>
          <w:color w:val="000000"/>
          <w:sz w:val="22"/>
          <w:szCs w:val="22"/>
        </w:rPr>
        <w:t>. What could have been the location of such inscriptions dealing with literary history at local (</w:t>
      </w:r>
      <w:proofErr w:type="spellStart"/>
      <w:r w:rsidRPr="002F0628">
        <w:rPr>
          <w:rFonts w:asciiTheme="minorHAnsi" w:hAnsiTheme="minorHAnsi"/>
          <w:color w:val="000000"/>
          <w:sz w:val="22"/>
          <w:szCs w:val="22"/>
        </w:rPr>
        <w:t>Mnesiepes</w:t>
      </w:r>
      <w:proofErr w:type="spellEnd"/>
      <w:r w:rsidRPr="002F0628">
        <w:rPr>
          <w:rFonts w:asciiTheme="minorHAnsi" w:hAnsiTheme="minorHAnsi"/>
          <w:color w:val="000000"/>
          <w:sz w:val="22"/>
          <w:szCs w:val="22"/>
        </w:rPr>
        <w:t xml:space="preserve"> inscription) and </w:t>
      </w:r>
      <w:proofErr w:type="spellStart"/>
      <w:proofErr w:type="gramStart"/>
      <w:r w:rsidRPr="002F0628">
        <w:rPr>
          <w:rFonts w:asciiTheme="minorHAnsi" w:hAnsiTheme="minorHAnsi"/>
          <w:color w:val="000000"/>
          <w:sz w:val="22"/>
          <w:szCs w:val="22"/>
        </w:rPr>
        <w:t>panhellenic</w:t>
      </w:r>
      <w:proofErr w:type="spellEnd"/>
      <w:proofErr w:type="gram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Parian</w:t>
      </w:r>
      <w:proofErr w:type="spellEnd"/>
      <w:r w:rsidRPr="002F0628">
        <w:rPr>
          <w:rFonts w:asciiTheme="minorHAnsi" w:hAnsiTheme="minorHAnsi"/>
          <w:color w:val="000000"/>
          <w:sz w:val="22"/>
          <w:szCs w:val="22"/>
        </w:rPr>
        <w:t xml:space="preserve"> Marble) levels? The </w:t>
      </w:r>
      <w:proofErr w:type="spellStart"/>
      <w:r w:rsidRPr="002F0628">
        <w:rPr>
          <w:rFonts w:asciiTheme="minorHAnsi" w:hAnsiTheme="minorHAnsi"/>
          <w:color w:val="000000"/>
          <w:sz w:val="22"/>
          <w:szCs w:val="22"/>
        </w:rPr>
        <w:t>Mnesiepes</w:t>
      </w:r>
      <w:proofErr w:type="spellEnd"/>
      <w:r w:rsidRPr="002F0628">
        <w:rPr>
          <w:rFonts w:asciiTheme="minorHAnsi" w:hAnsiTheme="minorHAnsi"/>
          <w:color w:val="000000"/>
          <w:sz w:val="22"/>
          <w:szCs w:val="22"/>
        </w:rPr>
        <w:t xml:space="preserve"> narrative was inscribed on the walls of the </w:t>
      </w:r>
      <w:proofErr w:type="spellStart"/>
      <w:r w:rsidRPr="002F0628">
        <w:rPr>
          <w:rFonts w:asciiTheme="minorHAnsi" w:hAnsiTheme="minorHAnsi"/>
          <w:color w:val="000000"/>
          <w:sz w:val="22"/>
          <w:szCs w:val="22"/>
        </w:rPr>
        <w:t>Archilocheion</w:t>
      </w:r>
      <w:proofErr w:type="spellEnd"/>
      <w:r w:rsidRPr="002F0628">
        <w:rPr>
          <w:rFonts w:asciiTheme="minorHAnsi" w:hAnsiTheme="minorHAnsi"/>
          <w:color w:val="000000"/>
          <w:sz w:val="22"/>
          <w:szCs w:val="22"/>
        </w:rPr>
        <w:t xml:space="preserve">, possibly a </w:t>
      </w:r>
      <w:proofErr w:type="spellStart"/>
      <w:r w:rsidRPr="002F0628">
        <w:rPr>
          <w:rFonts w:asciiTheme="minorHAnsi" w:hAnsiTheme="minorHAnsi"/>
          <w:color w:val="000000"/>
          <w:sz w:val="22"/>
          <w:szCs w:val="22"/>
        </w:rPr>
        <w:t>mouseion</w:t>
      </w:r>
      <w:proofErr w:type="spellEnd"/>
      <w:r w:rsidRPr="002F0628">
        <w:rPr>
          <w:rFonts w:asciiTheme="minorHAnsi" w:hAnsiTheme="minorHAnsi"/>
          <w:color w:val="000000"/>
          <w:sz w:val="22"/>
          <w:szCs w:val="22"/>
        </w:rPr>
        <w:t xml:space="preserve"> and thus a site of literary activities. It is certainly possible, as </w:t>
      </w:r>
      <w:proofErr w:type="spellStart"/>
      <w:r w:rsidRPr="002F0628">
        <w:rPr>
          <w:rFonts w:asciiTheme="minorHAnsi" w:hAnsiTheme="minorHAnsi"/>
          <w:color w:val="000000"/>
          <w:sz w:val="22"/>
          <w:szCs w:val="22"/>
        </w:rPr>
        <w:t>Kontoleon</w:t>
      </w:r>
      <w:proofErr w:type="spellEnd"/>
      <w:r w:rsidRPr="002F0628">
        <w:rPr>
          <w:rFonts w:asciiTheme="minorHAnsi" w:hAnsiTheme="minorHAnsi"/>
          <w:color w:val="000000"/>
          <w:sz w:val="22"/>
          <w:szCs w:val="22"/>
        </w:rPr>
        <w:t xml:space="preserve"> (1952, 1956, 1964) suggested, for the </w:t>
      </w:r>
      <w:proofErr w:type="spellStart"/>
      <w:r w:rsidRPr="002F0628">
        <w:rPr>
          <w:rFonts w:asciiTheme="minorHAnsi" w:hAnsiTheme="minorHAnsi"/>
          <w:color w:val="000000"/>
          <w:sz w:val="22"/>
          <w:szCs w:val="22"/>
        </w:rPr>
        <w:t>Parian</w:t>
      </w:r>
      <w:proofErr w:type="spellEnd"/>
      <w:r w:rsidRPr="002F0628">
        <w:rPr>
          <w:rFonts w:asciiTheme="minorHAnsi" w:hAnsiTheme="minorHAnsi"/>
          <w:color w:val="000000"/>
          <w:sz w:val="22"/>
          <w:szCs w:val="22"/>
        </w:rPr>
        <w:t xml:space="preserve"> Marble to have been set there too. If so, the combined study of the two inscriptions may reveal the various modalities of literary history as it may have been practiced not only on Hellenistic Paros, </w:t>
      </w:r>
      <w:proofErr w:type="gramStart"/>
      <w:r w:rsidRPr="002F0628">
        <w:rPr>
          <w:rFonts w:asciiTheme="minorHAnsi" w:hAnsiTheme="minorHAnsi"/>
          <w:color w:val="000000"/>
          <w:sz w:val="22"/>
          <w:szCs w:val="22"/>
        </w:rPr>
        <w:t>but</w:t>
      </w:r>
      <w:proofErr w:type="gramEnd"/>
      <w:r w:rsidRPr="002F0628">
        <w:rPr>
          <w:rFonts w:asciiTheme="minorHAnsi" w:hAnsiTheme="minorHAnsi"/>
          <w:color w:val="000000"/>
          <w:sz w:val="22"/>
          <w:szCs w:val="22"/>
        </w:rPr>
        <w:t xml:space="preserve"> at other local shrines </w:t>
      </w:r>
      <w:proofErr w:type="spellStart"/>
      <w:r w:rsidRPr="002F0628">
        <w:rPr>
          <w:rFonts w:asciiTheme="minorHAnsi" w:hAnsiTheme="minorHAnsi"/>
          <w:color w:val="000000"/>
          <w:sz w:val="22"/>
          <w:szCs w:val="22"/>
        </w:rPr>
        <w:t>honouring</w:t>
      </w:r>
      <w:proofErr w:type="spellEnd"/>
      <w:r w:rsidRPr="002F0628">
        <w:rPr>
          <w:rFonts w:asciiTheme="minorHAnsi" w:hAnsiTheme="minorHAnsi"/>
          <w:color w:val="000000"/>
          <w:sz w:val="22"/>
          <w:szCs w:val="22"/>
        </w:rPr>
        <w:t xml:space="preserve"> poets in Hellenistic Greece (e.g. Homer, at Delos, Notion, Chios, and Smyrna; Hesiod, at </w:t>
      </w:r>
      <w:proofErr w:type="spellStart"/>
      <w:r w:rsidRPr="002F0628">
        <w:rPr>
          <w:rFonts w:asciiTheme="minorHAnsi" w:hAnsiTheme="minorHAnsi"/>
          <w:color w:val="000000"/>
          <w:sz w:val="22"/>
          <w:szCs w:val="22"/>
        </w:rPr>
        <w:t>Thespiae</w:t>
      </w:r>
      <w:proofErr w:type="spellEnd"/>
      <w:r w:rsidRPr="002F0628">
        <w:rPr>
          <w:rFonts w:asciiTheme="minorHAnsi" w:hAnsiTheme="minorHAnsi"/>
          <w:color w:val="000000"/>
          <w:sz w:val="22"/>
          <w:szCs w:val="22"/>
        </w:rPr>
        <w:t xml:space="preserve"> and Tanagra; </w:t>
      </w:r>
      <w:proofErr w:type="spellStart"/>
      <w:r w:rsidRPr="002F0628">
        <w:rPr>
          <w:rFonts w:asciiTheme="minorHAnsi" w:hAnsiTheme="minorHAnsi"/>
          <w:color w:val="000000"/>
          <w:sz w:val="22"/>
          <w:szCs w:val="22"/>
        </w:rPr>
        <w:t>Mimnermos</w:t>
      </w:r>
      <w:proofErr w:type="spellEnd"/>
      <w:r w:rsidRPr="002F0628">
        <w:rPr>
          <w:rFonts w:asciiTheme="minorHAnsi" w:hAnsiTheme="minorHAnsi"/>
          <w:color w:val="000000"/>
          <w:sz w:val="22"/>
          <w:szCs w:val="22"/>
        </w:rPr>
        <w:t xml:space="preserve">, at Smyrna; cf. Clay 2004, Kimmel- </w:t>
      </w:r>
      <w:proofErr w:type="spellStart"/>
      <w:r w:rsidRPr="002F0628">
        <w:rPr>
          <w:rFonts w:asciiTheme="minorHAnsi" w:hAnsiTheme="minorHAnsi"/>
          <w:color w:val="000000"/>
          <w:sz w:val="22"/>
          <w:szCs w:val="22"/>
        </w:rPr>
        <w:t>Clauzet</w:t>
      </w:r>
      <w:proofErr w:type="spellEnd"/>
      <w:r w:rsidRPr="002F0628">
        <w:rPr>
          <w:rFonts w:asciiTheme="minorHAnsi" w:hAnsiTheme="minorHAnsi"/>
          <w:color w:val="000000"/>
          <w:sz w:val="22"/>
          <w:szCs w:val="22"/>
        </w:rPr>
        <w:t xml:space="preserve"> 2013).</w:t>
      </w:r>
    </w:p>
    <w:p w14:paraId="5DCD4A29"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 </w:t>
      </w:r>
    </w:p>
    <w:p w14:paraId="27A2DFC3"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References</w:t>
      </w:r>
    </w:p>
    <w:p w14:paraId="2E6F0B1E"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gramStart"/>
      <w:r w:rsidRPr="00DD0D4A">
        <w:rPr>
          <w:rFonts w:asciiTheme="minorHAnsi" w:hAnsiTheme="minorHAnsi"/>
          <w:color w:val="000000"/>
          <w:sz w:val="16"/>
          <w:szCs w:val="22"/>
        </w:rPr>
        <w:t>Clay, D. 2004.</w:t>
      </w:r>
      <w:proofErr w:type="gramEnd"/>
      <w:r w:rsidRPr="00DD0D4A">
        <w:rPr>
          <w:rFonts w:asciiTheme="minorHAnsi" w:hAnsiTheme="minorHAnsi"/>
          <w:color w:val="000000"/>
          <w:sz w:val="16"/>
          <w:szCs w:val="22"/>
        </w:rPr>
        <w:t xml:space="preserve"> </w:t>
      </w:r>
      <w:proofErr w:type="spellStart"/>
      <w:r w:rsidRPr="00DD0D4A">
        <w:rPr>
          <w:rFonts w:asciiTheme="minorHAnsi" w:hAnsiTheme="minorHAnsi"/>
          <w:color w:val="000000"/>
          <w:sz w:val="16"/>
          <w:szCs w:val="22"/>
        </w:rPr>
        <w:t>Archilochos</w:t>
      </w:r>
      <w:proofErr w:type="spellEnd"/>
      <w:r w:rsidRPr="00DD0D4A">
        <w:rPr>
          <w:rFonts w:asciiTheme="minorHAnsi" w:hAnsiTheme="minorHAnsi"/>
          <w:color w:val="000000"/>
          <w:sz w:val="16"/>
          <w:szCs w:val="22"/>
        </w:rPr>
        <w:t xml:space="preserve"> </w:t>
      </w:r>
      <w:proofErr w:type="spellStart"/>
      <w:r w:rsidRPr="00DD0D4A">
        <w:rPr>
          <w:rFonts w:asciiTheme="minorHAnsi" w:hAnsiTheme="minorHAnsi"/>
          <w:color w:val="000000"/>
          <w:sz w:val="16"/>
          <w:szCs w:val="22"/>
        </w:rPr>
        <w:t>Heros</w:t>
      </w:r>
      <w:proofErr w:type="spellEnd"/>
      <w:r w:rsidRPr="00DD0D4A">
        <w:rPr>
          <w:rFonts w:asciiTheme="minorHAnsi" w:hAnsiTheme="minorHAnsi"/>
          <w:color w:val="000000"/>
          <w:sz w:val="16"/>
          <w:szCs w:val="22"/>
        </w:rPr>
        <w:t xml:space="preserve">. </w:t>
      </w:r>
      <w:proofErr w:type="gramStart"/>
      <w:r w:rsidRPr="00DD0D4A">
        <w:rPr>
          <w:rFonts w:asciiTheme="minorHAnsi" w:hAnsiTheme="minorHAnsi"/>
          <w:color w:val="000000"/>
          <w:sz w:val="16"/>
          <w:szCs w:val="22"/>
        </w:rPr>
        <w:t>The Cult of Poets in the Greek Polis.</w:t>
      </w:r>
      <w:proofErr w:type="gramEnd"/>
      <w:r w:rsidRPr="00DD0D4A">
        <w:rPr>
          <w:rFonts w:asciiTheme="minorHAnsi" w:hAnsiTheme="minorHAnsi"/>
          <w:color w:val="000000"/>
          <w:sz w:val="16"/>
          <w:szCs w:val="22"/>
        </w:rPr>
        <w:t xml:space="preserve"> Baltimore.</w:t>
      </w:r>
    </w:p>
    <w:p w14:paraId="750A381D"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lang w:val="fr-FR"/>
        </w:rPr>
        <w:t>Kimmel-Clauzet</w:t>
      </w:r>
      <w:proofErr w:type="spellEnd"/>
      <w:r w:rsidRPr="00DD0D4A">
        <w:rPr>
          <w:rFonts w:asciiTheme="minorHAnsi" w:hAnsiTheme="minorHAnsi"/>
          <w:color w:val="000000"/>
          <w:sz w:val="16"/>
          <w:szCs w:val="22"/>
          <w:lang w:val="fr-FR"/>
        </w:rPr>
        <w:t xml:space="preserve">, F. 2013. Morts, tombeaux et cultes des poètes grecs. Étude de la survie des grands poètes des </w:t>
      </w:r>
      <w:r w:rsidRPr="00DD0D4A">
        <w:rPr>
          <w:rFonts w:asciiTheme="minorHAnsi" w:hAnsiTheme="minorHAnsi"/>
          <w:color w:val="000000"/>
          <w:sz w:val="16"/>
          <w:szCs w:val="22"/>
        </w:rPr>
        <w:t>é</w:t>
      </w:r>
      <w:r w:rsidRPr="00DD0D4A">
        <w:rPr>
          <w:rFonts w:asciiTheme="minorHAnsi" w:hAnsiTheme="minorHAnsi"/>
          <w:color w:val="000000"/>
          <w:sz w:val="16"/>
          <w:szCs w:val="22"/>
          <w:lang w:val="fr-FR"/>
        </w:rPr>
        <w:t xml:space="preserve">poques </w:t>
      </w:r>
      <w:proofErr w:type="spellStart"/>
      <w:r w:rsidRPr="00DD0D4A">
        <w:rPr>
          <w:rFonts w:asciiTheme="minorHAnsi" w:hAnsiTheme="minorHAnsi"/>
          <w:color w:val="000000"/>
          <w:sz w:val="16"/>
          <w:szCs w:val="22"/>
          <w:lang w:val="fr-FR"/>
        </w:rPr>
        <w:t>archa</w:t>
      </w:r>
      <w:proofErr w:type="spellEnd"/>
      <w:r w:rsidRPr="00DD0D4A">
        <w:rPr>
          <w:rFonts w:asciiTheme="minorHAnsi" w:hAnsiTheme="minorHAnsi"/>
          <w:color w:val="000000"/>
          <w:sz w:val="16"/>
          <w:szCs w:val="22"/>
          <w:lang w:val="nl-NL"/>
        </w:rPr>
        <w:t>ï</w:t>
      </w:r>
      <w:r w:rsidRPr="00DD0D4A">
        <w:rPr>
          <w:rFonts w:asciiTheme="minorHAnsi" w:hAnsiTheme="minorHAnsi"/>
          <w:color w:val="000000"/>
          <w:sz w:val="16"/>
          <w:szCs w:val="22"/>
          <w:lang w:val="fr-FR"/>
        </w:rPr>
        <w:t>que et classique en Grèce ancienne.</w:t>
      </w:r>
    </w:p>
    <w:p w14:paraId="2417B5E9"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rPr>
        <w:t>Kontoleon</w:t>
      </w:r>
      <w:proofErr w:type="spellEnd"/>
      <w:r w:rsidRPr="00DD0D4A">
        <w:rPr>
          <w:rFonts w:asciiTheme="minorHAnsi" w:hAnsiTheme="minorHAnsi"/>
          <w:color w:val="000000"/>
          <w:sz w:val="16"/>
          <w:szCs w:val="22"/>
        </w:rPr>
        <w:t>, N.M. 1952. ‘ΝΕΑΙ ΕΠΙΓΡΑΦΑΙ ΠΕΡΙ ΤΟΥ ΑΡΧΙΛΟΧΟΥ ΕΚ ΠΑΡΟΥ.</w:t>
      </w:r>
      <w:r w:rsidRPr="00DD0D4A">
        <w:rPr>
          <w:rFonts w:asciiTheme="minorHAnsi" w:hAnsiTheme="minorHAnsi"/>
          <w:color w:val="000000"/>
          <w:sz w:val="16"/>
          <w:szCs w:val="22"/>
          <w:lang w:val="fr-FR"/>
        </w:rPr>
        <w:t xml:space="preserve">’ </w:t>
      </w:r>
      <w:r w:rsidRPr="00DD0D4A">
        <w:rPr>
          <w:rFonts w:asciiTheme="minorHAnsi" w:hAnsiTheme="minorHAnsi"/>
          <w:color w:val="000000"/>
          <w:sz w:val="16"/>
          <w:szCs w:val="22"/>
        </w:rPr>
        <w:t>AE</w:t>
      </w:r>
      <w:proofErr w:type="gramStart"/>
      <w:r w:rsidRPr="00DD0D4A">
        <w:rPr>
          <w:rFonts w:asciiTheme="minorHAnsi" w:hAnsiTheme="minorHAnsi"/>
          <w:color w:val="000000"/>
          <w:sz w:val="16"/>
          <w:szCs w:val="22"/>
        </w:rPr>
        <w:t>:32</w:t>
      </w:r>
      <w:proofErr w:type="gramEnd"/>
      <w:r w:rsidRPr="00DD0D4A">
        <w:rPr>
          <w:rFonts w:asciiTheme="minorHAnsi" w:hAnsiTheme="minorHAnsi"/>
          <w:color w:val="000000"/>
          <w:sz w:val="16"/>
          <w:szCs w:val="22"/>
        </w:rPr>
        <w:t>-95.</w:t>
      </w:r>
    </w:p>
    <w:p w14:paraId="3CAA6B69"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rPr>
        <w:t>Kontoleon</w:t>
      </w:r>
      <w:proofErr w:type="spellEnd"/>
      <w:r w:rsidRPr="00DD0D4A">
        <w:rPr>
          <w:rFonts w:asciiTheme="minorHAnsi" w:hAnsiTheme="minorHAnsi"/>
          <w:color w:val="000000"/>
          <w:sz w:val="16"/>
          <w:szCs w:val="22"/>
        </w:rPr>
        <w:t>, N.M. 1956. ‘</w:t>
      </w:r>
      <w:r w:rsidRPr="00DD0D4A">
        <w:rPr>
          <w:rFonts w:asciiTheme="minorHAnsi" w:hAnsiTheme="minorHAnsi"/>
          <w:color w:val="000000"/>
          <w:sz w:val="16"/>
          <w:szCs w:val="22"/>
          <w:lang w:val="fr-FR"/>
        </w:rPr>
        <w:t>Archiloque d'après la nouvelle inscription de Paros.’ L'</w:t>
      </w:r>
      <w:proofErr w:type="spellStart"/>
      <w:r w:rsidRPr="00DD0D4A">
        <w:rPr>
          <w:rFonts w:asciiTheme="minorHAnsi" w:hAnsiTheme="minorHAnsi"/>
          <w:color w:val="000000"/>
          <w:sz w:val="16"/>
          <w:szCs w:val="22"/>
          <w:lang w:val="fr-FR"/>
        </w:rPr>
        <w:t>Hell</w:t>
      </w:r>
      <w:proofErr w:type="spellEnd"/>
      <w:r w:rsidRPr="00DD0D4A">
        <w:rPr>
          <w:rFonts w:asciiTheme="minorHAnsi" w:hAnsiTheme="minorHAnsi"/>
          <w:color w:val="000000"/>
          <w:sz w:val="16"/>
          <w:szCs w:val="22"/>
        </w:rPr>
        <w:t>é</w:t>
      </w:r>
      <w:proofErr w:type="spellStart"/>
      <w:r w:rsidRPr="00DD0D4A">
        <w:rPr>
          <w:rFonts w:asciiTheme="minorHAnsi" w:hAnsiTheme="minorHAnsi"/>
          <w:color w:val="000000"/>
          <w:sz w:val="16"/>
          <w:szCs w:val="22"/>
          <w:lang w:val="fr-FR"/>
        </w:rPr>
        <w:t>nisme</w:t>
      </w:r>
      <w:proofErr w:type="spellEnd"/>
      <w:r w:rsidRPr="00DD0D4A">
        <w:rPr>
          <w:rFonts w:asciiTheme="minorHAnsi" w:hAnsiTheme="minorHAnsi"/>
          <w:color w:val="000000"/>
          <w:sz w:val="16"/>
          <w:szCs w:val="22"/>
          <w:lang w:val="fr-FR"/>
        </w:rPr>
        <w:t xml:space="preserve"> contemporain 2:397-406.</w:t>
      </w:r>
    </w:p>
    <w:p w14:paraId="70E764B9"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DD0D4A">
        <w:rPr>
          <w:rFonts w:asciiTheme="minorHAnsi" w:hAnsiTheme="minorHAnsi"/>
          <w:color w:val="000000"/>
          <w:sz w:val="16"/>
          <w:szCs w:val="22"/>
        </w:rPr>
        <w:t>Kontoleon</w:t>
      </w:r>
      <w:proofErr w:type="spellEnd"/>
      <w:r w:rsidRPr="00DD0D4A">
        <w:rPr>
          <w:rFonts w:asciiTheme="minorHAnsi" w:hAnsiTheme="minorHAnsi"/>
          <w:color w:val="000000"/>
          <w:sz w:val="16"/>
          <w:szCs w:val="22"/>
        </w:rPr>
        <w:t>, N.M. 1964. ‘</w:t>
      </w:r>
      <w:proofErr w:type="spellStart"/>
      <w:r w:rsidRPr="00DD0D4A">
        <w:rPr>
          <w:rFonts w:asciiTheme="minorHAnsi" w:hAnsiTheme="minorHAnsi"/>
          <w:color w:val="000000"/>
          <w:sz w:val="16"/>
          <w:szCs w:val="22"/>
          <w:lang w:val="de-DE"/>
        </w:rPr>
        <w:t>Archilochos</w:t>
      </w:r>
      <w:proofErr w:type="spellEnd"/>
      <w:r w:rsidRPr="00DD0D4A">
        <w:rPr>
          <w:rFonts w:asciiTheme="minorHAnsi" w:hAnsiTheme="minorHAnsi"/>
          <w:color w:val="000000"/>
          <w:sz w:val="16"/>
          <w:szCs w:val="22"/>
          <w:lang w:val="de-DE"/>
        </w:rPr>
        <w:t xml:space="preserve"> und Paros.</w:t>
      </w:r>
      <w:r w:rsidRPr="00DD0D4A">
        <w:rPr>
          <w:rFonts w:asciiTheme="minorHAnsi" w:hAnsiTheme="minorHAnsi"/>
          <w:color w:val="000000"/>
          <w:sz w:val="16"/>
          <w:szCs w:val="22"/>
          <w:lang w:val="fr-FR"/>
        </w:rPr>
        <w:t>’ Archiloque, Entretiens Sur l’</w:t>
      </w:r>
      <w:proofErr w:type="spellStart"/>
      <w:r w:rsidRPr="00DD0D4A">
        <w:rPr>
          <w:rFonts w:asciiTheme="minorHAnsi" w:hAnsiTheme="minorHAnsi"/>
          <w:color w:val="000000"/>
          <w:sz w:val="16"/>
          <w:szCs w:val="22"/>
          <w:lang w:val="fr-FR"/>
        </w:rPr>
        <w:t>antiquit</w:t>
      </w:r>
      <w:proofErr w:type="spellEnd"/>
      <w:r w:rsidRPr="00DD0D4A">
        <w:rPr>
          <w:rFonts w:asciiTheme="minorHAnsi" w:hAnsiTheme="minorHAnsi"/>
          <w:color w:val="000000"/>
          <w:sz w:val="16"/>
          <w:szCs w:val="22"/>
        </w:rPr>
        <w:t xml:space="preserve">é </w:t>
      </w:r>
      <w:r w:rsidRPr="00DD0D4A">
        <w:rPr>
          <w:rFonts w:asciiTheme="minorHAnsi" w:hAnsiTheme="minorHAnsi"/>
          <w:color w:val="000000"/>
          <w:sz w:val="16"/>
          <w:szCs w:val="22"/>
          <w:lang w:val="fr-FR"/>
        </w:rPr>
        <w:t>Classique, Fondation Hardt:37-86.</w:t>
      </w:r>
    </w:p>
    <w:p w14:paraId="780FF548" w14:textId="77777777" w:rsidR="00A87817" w:rsidRPr="00DD0D4A"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DD0D4A">
        <w:rPr>
          <w:rFonts w:asciiTheme="minorHAnsi" w:hAnsiTheme="minorHAnsi"/>
          <w:color w:val="000000"/>
          <w:sz w:val="16"/>
          <w:szCs w:val="22"/>
        </w:rPr>
        <w:t>Rotstein</w:t>
      </w:r>
      <w:proofErr w:type="spellEnd"/>
      <w:r w:rsidRPr="00DD0D4A">
        <w:rPr>
          <w:rFonts w:asciiTheme="minorHAnsi" w:hAnsiTheme="minorHAnsi"/>
          <w:color w:val="000000"/>
          <w:sz w:val="16"/>
          <w:szCs w:val="22"/>
        </w:rPr>
        <w:t xml:space="preserve">, A. Forthcoming a. Literary History in the </w:t>
      </w:r>
      <w:proofErr w:type="spellStart"/>
      <w:r w:rsidRPr="00DD0D4A">
        <w:rPr>
          <w:rFonts w:asciiTheme="minorHAnsi" w:hAnsiTheme="minorHAnsi"/>
          <w:color w:val="000000"/>
          <w:sz w:val="16"/>
          <w:szCs w:val="22"/>
        </w:rPr>
        <w:t>Parian</w:t>
      </w:r>
      <w:proofErr w:type="spellEnd"/>
      <w:r w:rsidRPr="00DD0D4A">
        <w:rPr>
          <w:rFonts w:asciiTheme="minorHAnsi" w:hAnsiTheme="minorHAnsi"/>
          <w:color w:val="000000"/>
          <w:sz w:val="16"/>
          <w:szCs w:val="22"/>
        </w:rPr>
        <w:t xml:space="preserve"> Marble (Center for Hellenic Studies, Harvard University Press).</w:t>
      </w:r>
      <w:proofErr w:type="gramEnd"/>
    </w:p>
    <w:p w14:paraId="1741B089"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roofErr w:type="spellStart"/>
      <w:r w:rsidRPr="00DD0D4A">
        <w:rPr>
          <w:rFonts w:asciiTheme="minorHAnsi" w:hAnsiTheme="minorHAnsi"/>
          <w:color w:val="000000"/>
          <w:sz w:val="16"/>
          <w:szCs w:val="22"/>
          <w:lang w:val="nl-NL"/>
        </w:rPr>
        <w:t>Rotstein</w:t>
      </w:r>
      <w:proofErr w:type="spellEnd"/>
      <w:r w:rsidRPr="00DD0D4A">
        <w:rPr>
          <w:rFonts w:asciiTheme="minorHAnsi" w:hAnsiTheme="minorHAnsi"/>
          <w:color w:val="000000"/>
          <w:sz w:val="16"/>
          <w:szCs w:val="22"/>
          <w:lang w:val="nl-NL"/>
        </w:rPr>
        <w:t xml:space="preserve">, A. </w:t>
      </w:r>
      <w:proofErr w:type="spellStart"/>
      <w:r w:rsidRPr="00DD0D4A">
        <w:rPr>
          <w:rFonts w:asciiTheme="minorHAnsi" w:hAnsiTheme="minorHAnsi"/>
          <w:color w:val="000000"/>
          <w:sz w:val="16"/>
          <w:szCs w:val="22"/>
          <w:lang w:val="nl-NL"/>
        </w:rPr>
        <w:t>Forthcoming</w:t>
      </w:r>
      <w:proofErr w:type="spellEnd"/>
      <w:r w:rsidRPr="00DD0D4A">
        <w:rPr>
          <w:rFonts w:asciiTheme="minorHAnsi" w:hAnsiTheme="minorHAnsi"/>
          <w:color w:val="000000"/>
          <w:sz w:val="16"/>
          <w:szCs w:val="22"/>
          <w:lang w:val="nl-NL"/>
        </w:rPr>
        <w:t xml:space="preserve"> b. </w:t>
      </w:r>
      <w:r w:rsidRPr="00DD0D4A">
        <w:rPr>
          <w:rFonts w:asciiTheme="minorHAnsi" w:hAnsiTheme="minorHAnsi"/>
          <w:color w:val="000000"/>
          <w:sz w:val="16"/>
          <w:szCs w:val="22"/>
        </w:rPr>
        <w:t xml:space="preserve">‘The </w:t>
      </w:r>
      <w:proofErr w:type="spellStart"/>
      <w:r w:rsidRPr="00DD0D4A">
        <w:rPr>
          <w:rFonts w:asciiTheme="minorHAnsi" w:hAnsiTheme="minorHAnsi"/>
          <w:color w:val="000000"/>
          <w:sz w:val="16"/>
          <w:szCs w:val="22"/>
        </w:rPr>
        <w:t>Parian</w:t>
      </w:r>
      <w:proofErr w:type="spellEnd"/>
      <w:r w:rsidRPr="00DD0D4A">
        <w:rPr>
          <w:rFonts w:asciiTheme="minorHAnsi" w:hAnsiTheme="minorHAnsi"/>
          <w:color w:val="000000"/>
          <w:sz w:val="16"/>
          <w:szCs w:val="22"/>
        </w:rPr>
        <w:t xml:space="preserve"> Marble and the </w:t>
      </w:r>
      <w:proofErr w:type="spellStart"/>
      <w:r w:rsidRPr="00DD0D4A">
        <w:rPr>
          <w:rFonts w:asciiTheme="minorHAnsi" w:hAnsiTheme="minorHAnsi"/>
          <w:color w:val="000000"/>
          <w:sz w:val="16"/>
          <w:szCs w:val="22"/>
        </w:rPr>
        <w:t>Mnesiepes</w:t>
      </w:r>
      <w:proofErr w:type="spellEnd"/>
      <w:r w:rsidRPr="00DD0D4A">
        <w:rPr>
          <w:rFonts w:asciiTheme="minorHAnsi" w:hAnsiTheme="minorHAnsi"/>
          <w:color w:val="000000"/>
          <w:sz w:val="16"/>
          <w:szCs w:val="22"/>
        </w:rPr>
        <w:t xml:space="preserve"> Inscription.</w:t>
      </w:r>
      <w:r w:rsidRPr="00DD0D4A">
        <w:rPr>
          <w:rFonts w:asciiTheme="minorHAnsi" w:hAnsiTheme="minorHAnsi"/>
          <w:color w:val="000000"/>
          <w:sz w:val="16"/>
          <w:szCs w:val="22"/>
          <w:lang w:val="fr-FR"/>
        </w:rPr>
        <w:t xml:space="preserve">’ </w:t>
      </w:r>
      <w:r w:rsidRPr="00DD0D4A">
        <w:rPr>
          <w:rFonts w:asciiTheme="minorHAnsi" w:hAnsiTheme="minorHAnsi"/>
          <w:color w:val="000000"/>
          <w:sz w:val="16"/>
          <w:szCs w:val="22"/>
        </w:rPr>
        <w:t>ZPE.</w:t>
      </w:r>
    </w:p>
    <w:p w14:paraId="4E1E4877"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7ACEEF1E" w14:textId="77777777" w:rsidR="00A87817"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1E1462AE" w14:textId="77777777" w:rsidR="00113C4F" w:rsidRPr="002F0628" w:rsidRDefault="00113C4F"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6FB855B2" w14:textId="77777777" w:rsidR="00A87817" w:rsidRPr="002F0628" w:rsidRDefault="00A87817" w:rsidP="00DD0D4A">
      <w:pPr>
        <w:spacing w:line="276" w:lineRule="auto"/>
        <w:jc w:val="both"/>
        <w:rPr>
          <w:rFonts w:asciiTheme="minorHAnsi" w:hAnsiTheme="minorHAnsi"/>
          <w:sz w:val="22"/>
          <w:szCs w:val="22"/>
        </w:rPr>
      </w:pPr>
      <w:r w:rsidRPr="002F0628">
        <w:rPr>
          <w:rFonts w:asciiTheme="minorHAnsi" w:hAnsiTheme="minorHAnsi"/>
          <w:sz w:val="22"/>
          <w:szCs w:val="22"/>
        </w:rPr>
        <w:t>SESSION THREE: KEYNOTE ADDRESS 14:30-15:30</w:t>
      </w:r>
    </w:p>
    <w:p w14:paraId="0DBC7AFD" w14:textId="77777777" w:rsidR="00A87817" w:rsidRPr="002F0628" w:rsidRDefault="00A87817"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Chair: </w:t>
      </w:r>
      <w:proofErr w:type="spellStart"/>
      <w:r w:rsidRPr="002F0628">
        <w:rPr>
          <w:rFonts w:asciiTheme="minorHAnsi" w:hAnsiTheme="minorHAnsi"/>
          <w:sz w:val="22"/>
          <w:szCs w:val="22"/>
        </w:rPr>
        <w:t>Margalit</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Finkelberg</w:t>
      </w:r>
      <w:proofErr w:type="spellEnd"/>
      <w:r w:rsidRPr="002F0628">
        <w:rPr>
          <w:rFonts w:asciiTheme="minorHAnsi" w:hAnsiTheme="minorHAnsi"/>
          <w:sz w:val="22"/>
          <w:szCs w:val="22"/>
        </w:rPr>
        <w:t xml:space="preserve"> (Tel Aviv University)</w:t>
      </w:r>
    </w:p>
    <w:p w14:paraId="12C6EFFD" w14:textId="77777777" w:rsidR="00A87817" w:rsidRPr="002F0628" w:rsidRDefault="00A87817" w:rsidP="00DD0D4A">
      <w:pPr>
        <w:spacing w:line="276" w:lineRule="auto"/>
        <w:jc w:val="both"/>
        <w:rPr>
          <w:rFonts w:asciiTheme="minorHAnsi" w:hAnsiTheme="minorHAnsi"/>
          <w:sz w:val="22"/>
          <w:szCs w:val="22"/>
        </w:rPr>
      </w:pPr>
    </w:p>
    <w:p w14:paraId="74F17999" w14:textId="77777777" w:rsidR="00A87817" w:rsidRDefault="00A87817" w:rsidP="00DD0D4A">
      <w:pPr>
        <w:spacing w:line="276" w:lineRule="auto"/>
        <w:jc w:val="both"/>
        <w:rPr>
          <w:rFonts w:asciiTheme="minorHAnsi" w:hAnsiTheme="minorHAnsi"/>
          <w:sz w:val="22"/>
          <w:szCs w:val="22"/>
        </w:rPr>
      </w:pPr>
      <w:r w:rsidRPr="002F0628">
        <w:rPr>
          <w:rFonts w:asciiTheme="minorHAnsi" w:hAnsiTheme="minorHAnsi"/>
          <w:sz w:val="22"/>
          <w:szCs w:val="22"/>
        </w:rPr>
        <w:t>Denis Feeney (Princeton University)</w:t>
      </w:r>
    </w:p>
    <w:p w14:paraId="7520126D" w14:textId="2640A08D" w:rsidR="00113C4F" w:rsidRPr="002F0628" w:rsidRDefault="00113C4F" w:rsidP="00DD0D4A">
      <w:pPr>
        <w:spacing w:line="276" w:lineRule="auto"/>
        <w:jc w:val="both"/>
        <w:rPr>
          <w:rFonts w:asciiTheme="minorHAnsi" w:hAnsiTheme="minorHAnsi"/>
          <w:sz w:val="22"/>
          <w:szCs w:val="22"/>
        </w:rPr>
      </w:pPr>
      <w:r w:rsidRPr="00113C4F">
        <w:rPr>
          <w:rFonts w:asciiTheme="minorHAnsi" w:hAnsiTheme="minorHAnsi"/>
          <w:sz w:val="22"/>
          <w:szCs w:val="22"/>
        </w:rPr>
        <w:t>dfeeney@princeton.edu</w:t>
      </w:r>
    </w:p>
    <w:p w14:paraId="6ED2E7BA"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
          <w:sz w:val="22"/>
          <w:szCs w:val="22"/>
        </w:rPr>
      </w:pPr>
      <w:r w:rsidRPr="002F0628">
        <w:rPr>
          <w:rFonts w:asciiTheme="minorHAnsi" w:hAnsiTheme="minorHAnsi"/>
          <w:b/>
          <w:sz w:val="22"/>
          <w:szCs w:val="22"/>
        </w:rPr>
        <w:t>OVID AS A LITERARY HISTORIAN</w:t>
      </w:r>
    </w:p>
    <w:p w14:paraId="2C10C23B"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19F82E6C"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6119A8AB"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3068943E" w14:textId="77777777" w:rsidR="00A87817" w:rsidRPr="002F0628" w:rsidRDefault="00A87817" w:rsidP="00DD0D4A">
      <w:pPr>
        <w:spacing w:line="276" w:lineRule="auto"/>
        <w:jc w:val="both"/>
        <w:rPr>
          <w:rFonts w:asciiTheme="minorHAnsi" w:hAnsiTheme="minorHAnsi"/>
          <w:sz w:val="22"/>
          <w:szCs w:val="22"/>
        </w:rPr>
      </w:pPr>
      <w:r w:rsidRPr="002F0628">
        <w:rPr>
          <w:rFonts w:asciiTheme="minorHAnsi" w:hAnsiTheme="minorHAnsi"/>
          <w:sz w:val="22"/>
          <w:szCs w:val="22"/>
        </w:rPr>
        <w:t>SESSION FOUR: 15:45-17:15</w:t>
      </w:r>
    </w:p>
    <w:p w14:paraId="370BEC7C"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r w:rsidRPr="002F0628">
        <w:rPr>
          <w:rFonts w:asciiTheme="minorHAnsi" w:hAnsiTheme="minorHAnsi"/>
          <w:sz w:val="22"/>
          <w:szCs w:val="22"/>
        </w:rPr>
        <w:t xml:space="preserve">Chair: </w:t>
      </w:r>
      <w:proofErr w:type="spellStart"/>
      <w:r w:rsidRPr="002F0628">
        <w:rPr>
          <w:rFonts w:asciiTheme="minorHAnsi" w:hAnsiTheme="minorHAnsi"/>
          <w:sz w:val="22"/>
          <w:szCs w:val="22"/>
        </w:rPr>
        <w:t>Youval</w:t>
      </w:r>
      <w:proofErr w:type="spellEnd"/>
      <w:r w:rsidRPr="002F0628">
        <w:rPr>
          <w:rFonts w:asciiTheme="minorHAnsi" w:hAnsiTheme="minorHAnsi"/>
          <w:sz w:val="22"/>
          <w:szCs w:val="22"/>
        </w:rPr>
        <w:t xml:space="preserve"> Rothman (Tel Aviv University)</w:t>
      </w:r>
    </w:p>
    <w:p w14:paraId="5F7C2258"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0F185423" w14:textId="170E6AFE" w:rsidR="002615AF" w:rsidRPr="002615AF" w:rsidRDefault="002615AF" w:rsidP="002615AF">
      <w:pPr>
        <w:pStyle w:val="Body"/>
        <w:spacing w:line="276" w:lineRule="auto"/>
        <w:rPr>
          <w:rFonts w:asciiTheme="minorHAnsi" w:hAnsiTheme="minorHAnsi"/>
          <w:sz w:val="22"/>
          <w:szCs w:val="22"/>
        </w:rPr>
      </w:pPr>
      <w:proofErr w:type="spellStart"/>
      <w:r w:rsidRPr="002615AF">
        <w:rPr>
          <w:rFonts w:asciiTheme="minorHAnsi" w:hAnsiTheme="minorHAnsi"/>
          <w:sz w:val="22"/>
          <w:szCs w:val="22"/>
        </w:rPr>
        <w:t>Egidia</w:t>
      </w:r>
      <w:proofErr w:type="spellEnd"/>
      <w:r w:rsidRPr="002615AF">
        <w:rPr>
          <w:rFonts w:asciiTheme="minorHAnsi" w:hAnsiTheme="minorHAnsi"/>
          <w:sz w:val="22"/>
          <w:szCs w:val="22"/>
        </w:rPr>
        <w:t xml:space="preserve"> </w:t>
      </w:r>
      <w:proofErr w:type="spellStart"/>
      <w:r w:rsidRPr="002615AF">
        <w:rPr>
          <w:rFonts w:asciiTheme="minorHAnsi" w:hAnsiTheme="minorHAnsi"/>
          <w:sz w:val="22"/>
          <w:szCs w:val="22"/>
        </w:rPr>
        <w:t>Occhipinti</w:t>
      </w:r>
      <w:proofErr w:type="spellEnd"/>
      <w:r w:rsidRPr="002615AF">
        <w:rPr>
          <w:rFonts w:asciiTheme="minorHAnsi" w:hAnsiTheme="minorHAnsi"/>
          <w:sz w:val="22"/>
          <w:szCs w:val="22"/>
        </w:rPr>
        <w:t xml:space="preserve"> (independent researcher - https://independent.academia.edu/EgidiaOcchipinti) </w:t>
      </w:r>
    </w:p>
    <w:p w14:paraId="33608DA5" w14:textId="77777777" w:rsidR="002615AF" w:rsidRPr="002615AF" w:rsidRDefault="002615AF" w:rsidP="002615AF">
      <w:pPr>
        <w:pStyle w:val="Body"/>
        <w:spacing w:line="276" w:lineRule="auto"/>
        <w:rPr>
          <w:rFonts w:asciiTheme="minorHAnsi" w:hAnsiTheme="minorHAnsi"/>
          <w:sz w:val="22"/>
          <w:szCs w:val="22"/>
        </w:rPr>
      </w:pPr>
      <w:proofErr w:type="gramStart"/>
      <w:r w:rsidRPr="002615AF">
        <w:rPr>
          <w:rFonts w:asciiTheme="minorHAnsi" w:hAnsiTheme="minorHAnsi"/>
          <w:sz w:val="22"/>
          <w:szCs w:val="22"/>
        </w:rPr>
        <w:t>egidia.occhipinti@gmail.com</w:t>
      </w:r>
      <w:proofErr w:type="gramEnd"/>
    </w:p>
    <w:p w14:paraId="1A26BEFF" w14:textId="1F2B51F7" w:rsidR="002615AF" w:rsidRPr="002615AF" w:rsidRDefault="002615AF" w:rsidP="002615AF">
      <w:pPr>
        <w:pStyle w:val="Body"/>
        <w:spacing w:line="276" w:lineRule="auto"/>
        <w:rPr>
          <w:rFonts w:asciiTheme="minorHAnsi" w:hAnsiTheme="minorHAnsi"/>
          <w:sz w:val="22"/>
          <w:szCs w:val="22"/>
        </w:rPr>
      </w:pPr>
    </w:p>
    <w:p w14:paraId="5B79FE1F" w14:textId="77777777" w:rsidR="002615AF" w:rsidRPr="002615AF" w:rsidRDefault="002615AF" w:rsidP="002615AF">
      <w:pPr>
        <w:pStyle w:val="Body"/>
        <w:spacing w:line="276" w:lineRule="auto"/>
        <w:rPr>
          <w:rFonts w:asciiTheme="minorHAnsi" w:hAnsiTheme="minorHAnsi"/>
          <w:sz w:val="22"/>
          <w:szCs w:val="22"/>
        </w:rPr>
      </w:pPr>
      <w:r w:rsidRPr="002615AF">
        <w:rPr>
          <w:rFonts w:asciiTheme="minorHAnsi" w:hAnsiTheme="minorHAnsi"/>
          <w:b/>
          <w:bCs/>
          <w:sz w:val="22"/>
          <w:szCs w:val="22"/>
        </w:rPr>
        <w:t>Classical Greece and Slavery: Ancient and Modern Terminology</w:t>
      </w:r>
    </w:p>
    <w:p w14:paraId="7216E205" w14:textId="77777777" w:rsidR="002615AF" w:rsidRPr="002615AF" w:rsidRDefault="002615AF" w:rsidP="002615AF">
      <w:pPr>
        <w:pStyle w:val="Body"/>
        <w:spacing w:line="276" w:lineRule="auto"/>
        <w:rPr>
          <w:rFonts w:asciiTheme="minorHAnsi" w:hAnsiTheme="minorHAnsi"/>
          <w:sz w:val="22"/>
          <w:szCs w:val="22"/>
        </w:rPr>
      </w:pPr>
      <w:r w:rsidRPr="002615AF">
        <w:rPr>
          <w:rFonts w:asciiTheme="minorHAnsi" w:hAnsiTheme="minorHAnsi"/>
          <w:sz w:val="22"/>
          <w:szCs w:val="22"/>
        </w:rPr>
        <w:t xml:space="preserve">This paper points out some issues pertaining to ancient slavery and its definitions, as given in ancient and modern times. This proposal arises from the need of reconsidering a few aspects of modern scholarly view, that today appears as outdated. The study case is offered by </w:t>
      </w:r>
      <w:proofErr w:type="spellStart"/>
      <w:r w:rsidRPr="002615AF">
        <w:rPr>
          <w:rFonts w:asciiTheme="minorHAnsi" w:hAnsiTheme="minorHAnsi"/>
          <w:sz w:val="22"/>
          <w:szCs w:val="22"/>
        </w:rPr>
        <w:t>Chian</w:t>
      </w:r>
      <w:proofErr w:type="spellEnd"/>
      <w:r w:rsidRPr="002615AF">
        <w:rPr>
          <w:rFonts w:asciiTheme="minorHAnsi" w:hAnsiTheme="minorHAnsi"/>
          <w:sz w:val="22"/>
          <w:szCs w:val="22"/>
        </w:rPr>
        <w:t xml:space="preserve"> slavery. </w:t>
      </w:r>
    </w:p>
    <w:p w14:paraId="68926BB1" w14:textId="575AA966" w:rsidR="0083093D" w:rsidRPr="0083093D" w:rsidRDefault="002615AF" w:rsidP="0083093D">
      <w:pPr>
        <w:pStyle w:val="Body"/>
        <w:spacing w:line="276" w:lineRule="auto"/>
        <w:rPr>
          <w:rFonts w:asciiTheme="minorHAnsi" w:hAnsiTheme="minorHAnsi"/>
          <w:sz w:val="22"/>
          <w:szCs w:val="22"/>
        </w:rPr>
      </w:pPr>
      <w:r w:rsidRPr="002615AF">
        <w:rPr>
          <w:rFonts w:asciiTheme="minorHAnsi" w:hAnsiTheme="minorHAnsi"/>
          <w:sz w:val="22"/>
          <w:szCs w:val="22"/>
        </w:rPr>
        <w:t xml:space="preserve">This research starts from the examination of a fragment of </w:t>
      </w:r>
      <w:proofErr w:type="spellStart"/>
      <w:r w:rsidRPr="002615AF">
        <w:rPr>
          <w:rFonts w:asciiTheme="minorHAnsi" w:hAnsiTheme="minorHAnsi"/>
          <w:sz w:val="22"/>
          <w:szCs w:val="22"/>
        </w:rPr>
        <w:t>Theopompus</w:t>
      </w:r>
      <w:proofErr w:type="spellEnd"/>
      <w:r w:rsidRPr="002615AF">
        <w:rPr>
          <w:rFonts w:asciiTheme="minorHAnsi" w:hAnsiTheme="minorHAnsi"/>
          <w:sz w:val="22"/>
          <w:szCs w:val="22"/>
        </w:rPr>
        <w:t xml:space="preserve"> of Chios, which focuses on </w:t>
      </w:r>
      <w:proofErr w:type="spellStart"/>
      <w:r w:rsidRPr="002615AF">
        <w:rPr>
          <w:rFonts w:asciiTheme="minorHAnsi" w:hAnsiTheme="minorHAnsi"/>
          <w:sz w:val="22"/>
          <w:szCs w:val="22"/>
        </w:rPr>
        <w:t>Chian</w:t>
      </w:r>
      <w:proofErr w:type="spellEnd"/>
      <w:r w:rsidRPr="002615AF">
        <w:rPr>
          <w:rFonts w:asciiTheme="minorHAnsi" w:hAnsiTheme="minorHAnsi"/>
          <w:sz w:val="22"/>
          <w:szCs w:val="22"/>
        </w:rPr>
        <w:t xml:space="preserve"> slavery (</w:t>
      </w:r>
      <w:proofErr w:type="spellStart"/>
      <w:r w:rsidRPr="002615AF">
        <w:rPr>
          <w:rFonts w:asciiTheme="minorHAnsi" w:hAnsiTheme="minorHAnsi"/>
          <w:sz w:val="22"/>
          <w:szCs w:val="22"/>
        </w:rPr>
        <w:t>Theop</w:t>
      </w:r>
      <w:proofErr w:type="spellEnd"/>
      <w:r w:rsidRPr="002615AF">
        <w:rPr>
          <w:rFonts w:asciiTheme="minorHAnsi" w:hAnsiTheme="minorHAnsi"/>
          <w:sz w:val="22"/>
          <w:szCs w:val="22"/>
        </w:rPr>
        <w:t xml:space="preserve">. F 122 = </w:t>
      </w:r>
      <w:proofErr w:type="spellStart"/>
      <w:r w:rsidRPr="002615AF">
        <w:rPr>
          <w:rFonts w:asciiTheme="minorHAnsi" w:hAnsiTheme="minorHAnsi"/>
          <w:sz w:val="22"/>
          <w:szCs w:val="22"/>
        </w:rPr>
        <w:t>Athen</w:t>
      </w:r>
      <w:proofErr w:type="spellEnd"/>
      <w:r w:rsidRPr="002615AF">
        <w:rPr>
          <w:rFonts w:asciiTheme="minorHAnsi" w:hAnsiTheme="minorHAnsi"/>
          <w:sz w:val="22"/>
          <w:szCs w:val="22"/>
        </w:rPr>
        <w:t xml:space="preserve">. 6.88). It comes from the sixth book of </w:t>
      </w:r>
      <w:proofErr w:type="spellStart"/>
      <w:r w:rsidRPr="002615AF">
        <w:rPr>
          <w:rFonts w:asciiTheme="minorHAnsi" w:hAnsiTheme="minorHAnsi"/>
          <w:sz w:val="22"/>
          <w:szCs w:val="22"/>
        </w:rPr>
        <w:t>Athenaeus</w:t>
      </w:r>
      <w:proofErr w:type="spellEnd"/>
      <w:r w:rsidRPr="002615AF">
        <w:rPr>
          <w:rFonts w:asciiTheme="minorHAnsi" w:hAnsiTheme="minorHAnsi"/>
          <w:sz w:val="22"/>
          <w:szCs w:val="22"/>
        </w:rPr>
        <w:t xml:space="preserve">’ </w:t>
      </w:r>
      <w:proofErr w:type="spellStart"/>
      <w:r w:rsidRPr="002615AF">
        <w:rPr>
          <w:rFonts w:asciiTheme="minorHAnsi" w:hAnsiTheme="minorHAnsi"/>
          <w:i/>
          <w:iCs/>
          <w:sz w:val="22"/>
          <w:szCs w:val="22"/>
        </w:rPr>
        <w:t>Deipnosophists</w:t>
      </w:r>
      <w:proofErr w:type="spellEnd"/>
      <w:r w:rsidRPr="002615AF">
        <w:rPr>
          <w:rFonts w:asciiTheme="minorHAnsi" w:hAnsiTheme="minorHAnsi"/>
          <w:sz w:val="22"/>
          <w:szCs w:val="22"/>
        </w:rPr>
        <w:t xml:space="preserve">. </w:t>
      </w:r>
      <w:proofErr w:type="spellStart"/>
      <w:r w:rsidRPr="002615AF">
        <w:rPr>
          <w:rFonts w:asciiTheme="minorHAnsi" w:hAnsiTheme="minorHAnsi"/>
          <w:sz w:val="22"/>
          <w:szCs w:val="22"/>
        </w:rPr>
        <w:t>Athenaeus</w:t>
      </w:r>
      <w:proofErr w:type="spellEnd"/>
      <w:r w:rsidRPr="002615AF">
        <w:rPr>
          <w:rFonts w:asciiTheme="minorHAnsi" w:hAnsiTheme="minorHAnsi"/>
          <w:sz w:val="22"/>
          <w:szCs w:val="22"/>
        </w:rPr>
        <w:t xml:space="preserve"> reports that, according to </w:t>
      </w:r>
      <w:proofErr w:type="spellStart"/>
      <w:r w:rsidRPr="002615AF">
        <w:rPr>
          <w:rFonts w:asciiTheme="minorHAnsi" w:hAnsiTheme="minorHAnsi"/>
          <w:sz w:val="22"/>
          <w:szCs w:val="22"/>
        </w:rPr>
        <w:t>Theopompus</w:t>
      </w:r>
      <w:proofErr w:type="spellEnd"/>
      <w:r w:rsidRPr="002615AF">
        <w:rPr>
          <w:rFonts w:asciiTheme="minorHAnsi" w:hAnsiTheme="minorHAnsi"/>
          <w:sz w:val="22"/>
          <w:szCs w:val="22"/>
        </w:rPr>
        <w:t xml:space="preserve">, ‘chattel slavery’ originated in the island of Chios, where non-Greek slaves were purchased with money. Differently, other Greeks, such as Spartans and </w:t>
      </w:r>
      <w:proofErr w:type="spellStart"/>
      <w:r w:rsidRPr="002615AF">
        <w:rPr>
          <w:rFonts w:asciiTheme="minorHAnsi" w:hAnsiTheme="minorHAnsi"/>
          <w:sz w:val="22"/>
          <w:szCs w:val="22"/>
        </w:rPr>
        <w:t>Thessalians</w:t>
      </w:r>
      <w:proofErr w:type="spellEnd"/>
      <w:r w:rsidRPr="002615AF">
        <w:rPr>
          <w:rFonts w:asciiTheme="minorHAnsi" w:hAnsiTheme="minorHAnsi"/>
          <w:sz w:val="22"/>
          <w:szCs w:val="22"/>
        </w:rPr>
        <w:t xml:space="preserve">, enslaved those Greek peoples who lived in close proximity to them, and, in so </w:t>
      </w:r>
      <w:proofErr w:type="gramStart"/>
      <w:r w:rsidRPr="002615AF">
        <w:rPr>
          <w:rFonts w:asciiTheme="minorHAnsi" w:hAnsiTheme="minorHAnsi"/>
          <w:sz w:val="22"/>
          <w:szCs w:val="22"/>
        </w:rPr>
        <w:t>doing,</w:t>
      </w:r>
      <w:proofErr w:type="gramEnd"/>
      <w:r w:rsidRPr="002615AF">
        <w:rPr>
          <w:rFonts w:asciiTheme="minorHAnsi" w:hAnsiTheme="minorHAnsi"/>
          <w:sz w:val="22"/>
          <w:szCs w:val="22"/>
        </w:rPr>
        <w:t xml:space="preserve"> they gave life to a kind of slavery that was called ‘</w:t>
      </w:r>
      <w:proofErr w:type="spellStart"/>
      <w:r w:rsidRPr="002615AF">
        <w:rPr>
          <w:rFonts w:asciiTheme="minorHAnsi" w:hAnsiTheme="minorHAnsi"/>
          <w:sz w:val="22"/>
          <w:szCs w:val="22"/>
        </w:rPr>
        <w:t>helotic</w:t>
      </w:r>
      <w:proofErr w:type="spellEnd"/>
      <w:r w:rsidRPr="002615AF">
        <w:rPr>
          <w:rFonts w:asciiTheme="minorHAnsi" w:hAnsiTheme="minorHAnsi"/>
          <w:sz w:val="22"/>
          <w:szCs w:val="22"/>
        </w:rPr>
        <w:t>’. From this passage scholars became convinced that in antiquity there were two different types of slavery, the ‘chattel’ and the ‘</w:t>
      </w:r>
      <w:proofErr w:type="spellStart"/>
      <w:r w:rsidRPr="002615AF">
        <w:rPr>
          <w:rFonts w:asciiTheme="minorHAnsi" w:hAnsiTheme="minorHAnsi"/>
          <w:sz w:val="22"/>
          <w:szCs w:val="22"/>
        </w:rPr>
        <w:t>helotic</w:t>
      </w:r>
      <w:proofErr w:type="spellEnd"/>
      <w:r w:rsidRPr="002615AF">
        <w:rPr>
          <w:rFonts w:asciiTheme="minorHAnsi" w:hAnsiTheme="minorHAnsi"/>
          <w:sz w:val="22"/>
          <w:szCs w:val="22"/>
        </w:rPr>
        <w:t xml:space="preserve">’. Moreover, they assumed that only ‘chattel slavery’ was attested in Chios. Now, in book 6 </w:t>
      </w:r>
      <w:proofErr w:type="spellStart"/>
      <w:r w:rsidRPr="002615AF">
        <w:rPr>
          <w:rFonts w:asciiTheme="minorHAnsi" w:hAnsiTheme="minorHAnsi"/>
          <w:sz w:val="22"/>
          <w:szCs w:val="22"/>
        </w:rPr>
        <w:t>Athenaeus</w:t>
      </w:r>
      <w:proofErr w:type="spellEnd"/>
      <w:r w:rsidRPr="002615AF">
        <w:rPr>
          <w:rFonts w:asciiTheme="minorHAnsi" w:hAnsiTheme="minorHAnsi"/>
          <w:sz w:val="22"/>
          <w:szCs w:val="22"/>
        </w:rPr>
        <w:t xml:space="preserve"> hints at several authors who dealt with the subject of ancient slavery. A broad literary examination of this book (esp. chapters 84-109) would show that the customary distinction between ‘chattel slavery’ and ‘</w:t>
      </w:r>
      <w:proofErr w:type="spellStart"/>
      <w:r w:rsidRPr="002615AF">
        <w:rPr>
          <w:rFonts w:asciiTheme="minorHAnsi" w:hAnsiTheme="minorHAnsi"/>
          <w:sz w:val="22"/>
          <w:szCs w:val="22"/>
        </w:rPr>
        <w:t>helotic</w:t>
      </w:r>
      <w:proofErr w:type="spellEnd"/>
      <w:r w:rsidRPr="002615AF">
        <w:rPr>
          <w:rFonts w:asciiTheme="minorHAnsi" w:hAnsiTheme="minorHAnsi"/>
          <w:sz w:val="22"/>
          <w:szCs w:val="22"/>
        </w:rPr>
        <w:t xml:space="preserve"> slavery’ is unsatisfactory. Furthermore, our evidence would suggest that, besides the so-called ‘chattel slavery’, an oldest type of slavery was practiced in Chios as well. This kind of subjection was, moreover, very similar to the ‘</w:t>
      </w:r>
      <w:proofErr w:type="spellStart"/>
      <w:r w:rsidRPr="002615AF">
        <w:rPr>
          <w:rFonts w:asciiTheme="minorHAnsi" w:hAnsiTheme="minorHAnsi"/>
          <w:sz w:val="22"/>
          <w:szCs w:val="22"/>
        </w:rPr>
        <w:t>helotic</w:t>
      </w:r>
      <w:proofErr w:type="spellEnd"/>
      <w:r w:rsidRPr="002615AF">
        <w:rPr>
          <w:rFonts w:asciiTheme="minorHAnsi" w:hAnsiTheme="minorHAnsi"/>
          <w:sz w:val="22"/>
          <w:szCs w:val="22"/>
        </w:rPr>
        <w:t>’ system.</w:t>
      </w:r>
    </w:p>
    <w:p w14:paraId="0A9C6937" w14:textId="77AF2785" w:rsidR="00A87817" w:rsidRPr="002F0628" w:rsidRDefault="00A87817" w:rsidP="00DD0D4A">
      <w:pPr>
        <w:pStyle w:val="Body"/>
        <w:spacing w:line="276" w:lineRule="auto"/>
        <w:jc w:val="both"/>
        <w:rPr>
          <w:rFonts w:asciiTheme="minorHAnsi" w:eastAsia="Palatino" w:hAnsiTheme="minorHAnsi" w:cs="Palatino"/>
          <w:sz w:val="22"/>
          <w:szCs w:val="22"/>
        </w:rPr>
      </w:pPr>
      <w:r w:rsidRPr="002F0628">
        <w:rPr>
          <w:rFonts w:asciiTheme="minorHAnsi" w:hAnsiTheme="minorHAnsi"/>
          <w:sz w:val="22"/>
          <w:szCs w:val="22"/>
        </w:rPr>
        <w:t> </w:t>
      </w:r>
    </w:p>
    <w:p w14:paraId="2D7D0872" w14:textId="77777777" w:rsidR="00A87817" w:rsidRPr="002F0628" w:rsidRDefault="00A87817" w:rsidP="00DD0D4A">
      <w:pPr>
        <w:pStyle w:val="Body"/>
        <w:spacing w:line="276" w:lineRule="auto"/>
        <w:jc w:val="both"/>
        <w:rPr>
          <w:rFonts w:asciiTheme="minorHAnsi" w:eastAsia="Palatino" w:hAnsiTheme="minorHAnsi" w:cs="Palatino"/>
          <w:b/>
          <w:bCs/>
          <w:sz w:val="22"/>
          <w:szCs w:val="22"/>
        </w:rPr>
      </w:pPr>
      <w:r w:rsidRPr="002F0628">
        <w:rPr>
          <w:rFonts w:asciiTheme="minorHAnsi" w:hAnsiTheme="minorHAnsi"/>
          <w:b/>
          <w:bCs/>
          <w:sz w:val="22"/>
          <w:szCs w:val="22"/>
        </w:rPr>
        <w:t>Select bibliography</w:t>
      </w:r>
    </w:p>
    <w:p w14:paraId="30B9D05C"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R. Alston, Reading ancient slavery (London, 2011)</w:t>
      </w:r>
    </w:p>
    <w:p w14:paraId="637B362E"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lang w:val="es-ES_tradnl"/>
        </w:rPr>
        <w:t xml:space="preserve">L. </w:t>
      </w:r>
      <w:proofErr w:type="spellStart"/>
      <w:r w:rsidRPr="00113C4F">
        <w:rPr>
          <w:rFonts w:asciiTheme="minorHAnsi" w:hAnsiTheme="minorHAnsi"/>
          <w:sz w:val="16"/>
          <w:szCs w:val="22"/>
          <w:lang w:val="es-ES_tradnl"/>
        </w:rPr>
        <w:t>Canfora</w:t>
      </w:r>
      <w:proofErr w:type="spellEnd"/>
      <w:r w:rsidRPr="00113C4F">
        <w:rPr>
          <w:rFonts w:asciiTheme="minorHAnsi" w:hAnsiTheme="minorHAnsi"/>
          <w:sz w:val="16"/>
          <w:szCs w:val="22"/>
          <w:lang w:val="es-ES_tradnl"/>
        </w:rPr>
        <w:t xml:space="preserve">, Una </w:t>
      </w:r>
      <w:proofErr w:type="spellStart"/>
      <w:r w:rsidRPr="00113C4F">
        <w:rPr>
          <w:rFonts w:asciiTheme="minorHAnsi" w:hAnsiTheme="minorHAnsi"/>
          <w:sz w:val="16"/>
          <w:szCs w:val="22"/>
          <w:lang w:val="es-ES_tradnl"/>
        </w:rPr>
        <w:t>societ</w:t>
      </w:r>
      <w:proofErr w:type="spellEnd"/>
      <w:r w:rsidRPr="00113C4F">
        <w:rPr>
          <w:rFonts w:asciiTheme="minorHAnsi" w:hAnsiTheme="minorHAnsi"/>
          <w:sz w:val="16"/>
          <w:szCs w:val="22"/>
        </w:rPr>
        <w:t xml:space="preserve">à </w:t>
      </w:r>
      <w:r w:rsidRPr="00113C4F">
        <w:rPr>
          <w:rFonts w:asciiTheme="minorHAnsi" w:hAnsiTheme="minorHAnsi"/>
          <w:sz w:val="16"/>
          <w:szCs w:val="22"/>
          <w:lang w:val="it-IT"/>
        </w:rPr>
        <w:t>premoderna. Lavoro morale scrittura in Grecia (Bari, 1989).</w:t>
      </w:r>
    </w:p>
    <w:p w14:paraId="08DA7DF9"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N. R. E. Fisher, Slavery in Classical Greece (London 1993).</w:t>
      </w:r>
    </w:p>
    <w:p w14:paraId="411F6537"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 xml:space="preserve">M. I. Finley, ‘Was Greek Civilization Based on Slave </w:t>
      </w:r>
      <w:proofErr w:type="spellStart"/>
      <w:r w:rsidRPr="00113C4F">
        <w:rPr>
          <w:rFonts w:asciiTheme="minorHAnsi" w:hAnsiTheme="minorHAnsi"/>
          <w:sz w:val="16"/>
          <w:szCs w:val="22"/>
        </w:rPr>
        <w:t>Labour</w:t>
      </w:r>
      <w:proofErr w:type="spellEnd"/>
      <w:r w:rsidRPr="00113C4F">
        <w:rPr>
          <w:rFonts w:asciiTheme="minorHAnsi" w:hAnsiTheme="minorHAnsi"/>
          <w:sz w:val="16"/>
          <w:szCs w:val="22"/>
        </w:rPr>
        <w:t>?</w:t>
      </w:r>
      <w:proofErr w:type="gramStart"/>
      <w:r w:rsidRPr="00113C4F">
        <w:rPr>
          <w:rFonts w:asciiTheme="minorHAnsi" w:hAnsiTheme="minorHAnsi"/>
          <w:sz w:val="16"/>
          <w:szCs w:val="22"/>
        </w:rPr>
        <w:t>’,</w:t>
      </w:r>
      <w:proofErr w:type="gramEnd"/>
      <w:r w:rsidRPr="00113C4F">
        <w:rPr>
          <w:rFonts w:asciiTheme="minorHAnsi" w:hAnsiTheme="minorHAnsi"/>
          <w:sz w:val="16"/>
          <w:szCs w:val="22"/>
        </w:rPr>
        <w:t xml:space="preserve"> in </w:t>
      </w:r>
      <w:proofErr w:type="spellStart"/>
      <w:r w:rsidRPr="00113C4F">
        <w:rPr>
          <w:rFonts w:asciiTheme="minorHAnsi" w:hAnsiTheme="minorHAnsi"/>
          <w:sz w:val="16"/>
          <w:szCs w:val="22"/>
        </w:rPr>
        <w:t>Historia</w:t>
      </w:r>
      <w:proofErr w:type="spellEnd"/>
      <w:r w:rsidRPr="00113C4F">
        <w:rPr>
          <w:rFonts w:asciiTheme="minorHAnsi" w:hAnsiTheme="minorHAnsi"/>
          <w:sz w:val="16"/>
          <w:szCs w:val="22"/>
        </w:rPr>
        <w:t xml:space="preserve"> 8 (1959), 145-164.</w:t>
      </w:r>
    </w:p>
    <w:p w14:paraId="6C7ACBD0"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M. I. Finley, Ancient Slavery and Modern Ideology  </w:t>
      </w:r>
      <w:r w:rsidRPr="00113C4F">
        <w:rPr>
          <w:rFonts w:asciiTheme="minorHAnsi" w:hAnsiTheme="minorHAnsi"/>
          <w:sz w:val="16"/>
          <w:szCs w:val="22"/>
          <w:lang w:val="fr-FR"/>
        </w:rPr>
        <w:t>(Princeton, 1998)</w:t>
      </w:r>
    </w:p>
    <w:p w14:paraId="3DE9ECCA"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lang w:val="de-DE"/>
        </w:rPr>
        <w:t xml:space="preserve">P. Gardner, </w:t>
      </w:r>
      <w:r w:rsidRPr="00113C4F">
        <w:rPr>
          <w:rFonts w:asciiTheme="minorHAnsi" w:hAnsiTheme="minorHAnsi"/>
          <w:sz w:val="16"/>
          <w:szCs w:val="22"/>
        </w:rPr>
        <w:t>‘The financial history of ancient Chios’, in JHS 40 (1920), 160-173</w:t>
      </w:r>
    </w:p>
    <w:p w14:paraId="522DCF88"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 xml:space="preserve">Y. </w:t>
      </w:r>
      <w:proofErr w:type="spellStart"/>
      <w:r w:rsidRPr="00113C4F">
        <w:rPr>
          <w:rFonts w:asciiTheme="minorHAnsi" w:hAnsiTheme="minorHAnsi"/>
          <w:sz w:val="16"/>
          <w:szCs w:val="22"/>
        </w:rPr>
        <w:t>Garlan</w:t>
      </w:r>
      <w:proofErr w:type="spellEnd"/>
      <w:r w:rsidRPr="00113C4F">
        <w:rPr>
          <w:rFonts w:asciiTheme="minorHAnsi" w:hAnsiTheme="minorHAnsi"/>
          <w:sz w:val="16"/>
          <w:szCs w:val="22"/>
        </w:rPr>
        <w:t>, Slavery in Ancient Greece (Ithaca-London, 1988)</w:t>
      </w:r>
    </w:p>
    <w:p w14:paraId="427F7F8E"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 xml:space="preserve">S. </w:t>
      </w:r>
      <w:proofErr w:type="spellStart"/>
      <w:r w:rsidRPr="00113C4F">
        <w:rPr>
          <w:rFonts w:asciiTheme="minorHAnsi" w:hAnsiTheme="minorHAnsi"/>
          <w:sz w:val="16"/>
          <w:szCs w:val="22"/>
        </w:rPr>
        <w:t>Hodkinson</w:t>
      </w:r>
      <w:proofErr w:type="spellEnd"/>
      <w:r w:rsidRPr="00113C4F">
        <w:rPr>
          <w:rFonts w:asciiTheme="minorHAnsi" w:hAnsiTheme="minorHAnsi"/>
          <w:sz w:val="16"/>
          <w:szCs w:val="22"/>
        </w:rPr>
        <w:t xml:space="preserve">, ‘Servile and free </w:t>
      </w:r>
      <w:proofErr w:type="spellStart"/>
      <w:r w:rsidRPr="00113C4F">
        <w:rPr>
          <w:rFonts w:asciiTheme="minorHAnsi" w:hAnsiTheme="minorHAnsi"/>
          <w:sz w:val="16"/>
          <w:szCs w:val="22"/>
        </w:rPr>
        <w:t>dependants</w:t>
      </w:r>
      <w:proofErr w:type="spellEnd"/>
      <w:r w:rsidRPr="00113C4F">
        <w:rPr>
          <w:rFonts w:asciiTheme="minorHAnsi" w:hAnsiTheme="minorHAnsi"/>
          <w:sz w:val="16"/>
          <w:szCs w:val="22"/>
        </w:rPr>
        <w:t xml:space="preserve"> of the classical </w:t>
      </w:r>
      <w:proofErr w:type="spellStart"/>
      <w:r w:rsidRPr="00113C4F">
        <w:rPr>
          <w:rFonts w:asciiTheme="minorHAnsi" w:hAnsiTheme="minorHAnsi"/>
          <w:sz w:val="16"/>
          <w:szCs w:val="22"/>
        </w:rPr>
        <w:t>spartan</w:t>
      </w:r>
      <w:proofErr w:type="spellEnd"/>
      <w:r w:rsidRPr="00113C4F">
        <w:rPr>
          <w:rFonts w:asciiTheme="minorHAnsi" w:hAnsiTheme="minorHAnsi"/>
          <w:sz w:val="16"/>
          <w:szCs w:val="22"/>
        </w:rPr>
        <w:t xml:space="preserve"> «</w:t>
      </w:r>
      <w:proofErr w:type="spellStart"/>
      <w:r w:rsidRPr="00113C4F">
        <w:rPr>
          <w:rFonts w:asciiTheme="minorHAnsi" w:hAnsiTheme="minorHAnsi"/>
          <w:sz w:val="16"/>
          <w:szCs w:val="22"/>
        </w:rPr>
        <w:t>oikos</w:t>
      </w:r>
      <w:proofErr w:type="spellEnd"/>
      <w:r w:rsidRPr="00113C4F">
        <w:rPr>
          <w:rFonts w:asciiTheme="minorHAnsi" w:hAnsiTheme="minorHAnsi"/>
          <w:sz w:val="16"/>
          <w:szCs w:val="22"/>
        </w:rPr>
        <w:t>»’</w:t>
      </w:r>
      <w:r w:rsidRPr="00113C4F">
        <w:rPr>
          <w:rFonts w:asciiTheme="minorHAnsi" w:hAnsiTheme="minorHAnsi"/>
          <w:sz w:val="16"/>
          <w:szCs w:val="22"/>
          <w:lang w:val="it-IT"/>
        </w:rPr>
        <w:t xml:space="preserve">, in M. Moggi-G. </w:t>
      </w:r>
      <w:proofErr w:type="spellStart"/>
      <w:proofErr w:type="gramStart"/>
      <w:r w:rsidRPr="00113C4F">
        <w:rPr>
          <w:rFonts w:asciiTheme="minorHAnsi" w:hAnsiTheme="minorHAnsi"/>
          <w:sz w:val="16"/>
          <w:szCs w:val="22"/>
          <w:lang w:val="it-IT"/>
        </w:rPr>
        <w:t>Cordiano</w:t>
      </w:r>
      <w:proofErr w:type="spellEnd"/>
      <w:r w:rsidRPr="00113C4F">
        <w:rPr>
          <w:rFonts w:asciiTheme="minorHAnsi" w:hAnsiTheme="minorHAnsi"/>
          <w:sz w:val="16"/>
          <w:szCs w:val="22"/>
          <w:lang w:val="it-IT"/>
        </w:rPr>
        <w:t xml:space="preserve"> (a cura di), Schiavi e dipendenti </w:t>
      </w:r>
      <w:proofErr w:type="spellStart"/>
      <w:r w:rsidRPr="00113C4F">
        <w:rPr>
          <w:rFonts w:asciiTheme="minorHAnsi" w:hAnsiTheme="minorHAnsi"/>
          <w:sz w:val="16"/>
          <w:szCs w:val="22"/>
          <w:lang w:val="it-IT"/>
        </w:rPr>
        <w:t>nell</w:t>
      </w:r>
      <w:proofErr w:type="spellEnd"/>
      <w:r w:rsidRPr="00113C4F">
        <w:rPr>
          <w:rFonts w:asciiTheme="minorHAnsi" w:hAnsiTheme="minorHAnsi"/>
          <w:sz w:val="16"/>
          <w:szCs w:val="22"/>
        </w:rPr>
        <w:t>’</w:t>
      </w:r>
      <w:r w:rsidRPr="00113C4F">
        <w:rPr>
          <w:rFonts w:asciiTheme="minorHAnsi" w:hAnsiTheme="minorHAnsi"/>
          <w:sz w:val="16"/>
          <w:szCs w:val="22"/>
          <w:lang w:val="it-IT"/>
        </w:rPr>
        <w:t xml:space="preserve">ambito </w:t>
      </w:r>
      <w:proofErr w:type="spellStart"/>
      <w:r w:rsidRPr="00113C4F">
        <w:rPr>
          <w:rFonts w:asciiTheme="minorHAnsi" w:hAnsiTheme="minorHAnsi"/>
          <w:sz w:val="16"/>
          <w:szCs w:val="22"/>
          <w:lang w:val="it-IT"/>
        </w:rPr>
        <w:t>dell</w:t>
      </w:r>
      <w:proofErr w:type="spellEnd"/>
      <w:r w:rsidRPr="00113C4F">
        <w:rPr>
          <w:rFonts w:asciiTheme="minorHAnsi" w:hAnsiTheme="minorHAnsi"/>
          <w:sz w:val="16"/>
          <w:szCs w:val="22"/>
        </w:rPr>
        <w:t>’«</w:t>
      </w:r>
      <w:proofErr w:type="spellStart"/>
      <w:r w:rsidRPr="00113C4F">
        <w:rPr>
          <w:rFonts w:asciiTheme="minorHAnsi" w:hAnsiTheme="minorHAnsi"/>
          <w:sz w:val="16"/>
          <w:szCs w:val="22"/>
        </w:rPr>
        <w:t>oikos</w:t>
      </w:r>
      <w:proofErr w:type="spellEnd"/>
      <w:r w:rsidRPr="00113C4F">
        <w:rPr>
          <w:rFonts w:asciiTheme="minorHAnsi" w:hAnsiTheme="minorHAnsi"/>
          <w:sz w:val="16"/>
          <w:szCs w:val="22"/>
        </w:rPr>
        <w:t xml:space="preserve">» </w:t>
      </w:r>
      <w:r w:rsidRPr="00113C4F">
        <w:rPr>
          <w:rFonts w:asciiTheme="minorHAnsi" w:hAnsiTheme="minorHAnsi"/>
          <w:sz w:val="16"/>
          <w:szCs w:val="22"/>
          <w:lang w:val="it-IT"/>
        </w:rPr>
        <w:t xml:space="preserve">e della </w:t>
      </w:r>
      <w:r w:rsidRPr="00113C4F">
        <w:rPr>
          <w:rFonts w:asciiTheme="minorHAnsi" w:hAnsiTheme="minorHAnsi"/>
          <w:sz w:val="16"/>
          <w:szCs w:val="22"/>
        </w:rPr>
        <w:t>«</w:t>
      </w:r>
      <w:proofErr w:type="spellStart"/>
      <w:r w:rsidRPr="00113C4F">
        <w:rPr>
          <w:rFonts w:asciiTheme="minorHAnsi" w:hAnsiTheme="minorHAnsi"/>
          <w:sz w:val="16"/>
          <w:szCs w:val="22"/>
        </w:rPr>
        <w:t>familia</w:t>
      </w:r>
      <w:proofErr w:type="spellEnd"/>
      <w:r w:rsidRPr="00113C4F">
        <w:rPr>
          <w:rFonts w:asciiTheme="minorHAnsi" w:hAnsiTheme="minorHAnsi"/>
          <w:sz w:val="16"/>
          <w:szCs w:val="22"/>
        </w:rPr>
        <w:t>» (Pisa, 1997) 45-71.</w:t>
      </w:r>
      <w:proofErr w:type="gramEnd"/>
    </w:p>
    <w:p w14:paraId="304D3AB0"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P. Hunt, Slaves, Warfare, and Ideology in the Greek Historians (Cambridge, 1998).</w:t>
      </w:r>
    </w:p>
    <w:p w14:paraId="1DD12C16"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 xml:space="preserve">N. </w:t>
      </w:r>
      <w:proofErr w:type="spellStart"/>
      <w:r w:rsidRPr="00113C4F">
        <w:rPr>
          <w:rFonts w:asciiTheme="minorHAnsi" w:hAnsiTheme="minorHAnsi"/>
          <w:sz w:val="16"/>
          <w:szCs w:val="22"/>
        </w:rPr>
        <w:t>McKeown</w:t>
      </w:r>
      <w:proofErr w:type="spellEnd"/>
      <w:r w:rsidRPr="00113C4F">
        <w:rPr>
          <w:rFonts w:asciiTheme="minorHAnsi" w:hAnsiTheme="minorHAnsi"/>
          <w:sz w:val="16"/>
          <w:szCs w:val="22"/>
        </w:rPr>
        <w:t>, The invention of ancient slavery (London, 2007)</w:t>
      </w:r>
    </w:p>
    <w:p w14:paraId="7C94F9AB"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lang w:val="pt-PT"/>
        </w:rPr>
        <w:t>P. Vidal-</w:t>
      </w:r>
      <w:proofErr w:type="spellStart"/>
      <w:r w:rsidRPr="00113C4F">
        <w:rPr>
          <w:rFonts w:asciiTheme="minorHAnsi" w:hAnsiTheme="minorHAnsi"/>
          <w:sz w:val="16"/>
          <w:szCs w:val="22"/>
          <w:lang w:val="pt-PT"/>
        </w:rPr>
        <w:t>Naquet</w:t>
      </w:r>
      <w:proofErr w:type="spellEnd"/>
      <w:r w:rsidRPr="00113C4F">
        <w:rPr>
          <w:rFonts w:asciiTheme="minorHAnsi" w:hAnsiTheme="minorHAnsi"/>
          <w:sz w:val="16"/>
          <w:szCs w:val="22"/>
          <w:lang w:val="pt-PT"/>
        </w:rPr>
        <w:t xml:space="preserve">, </w:t>
      </w:r>
      <w:r w:rsidRPr="00113C4F">
        <w:rPr>
          <w:rFonts w:asciiTheme="minorHAnsi" w:hAnsiTheme="minorHAnsi"/>
          <w:sz w:val="16"/>
          <w:szCs w:val="22"/>
        </w:rPr>
        <w:t>‘</w:t>
      </w:r>
      <w:r w:rsidRPr="00113C4F">
        <w:rPr>
          <w:rFonts w:asciiTheme="minorHAnsi" w:hAnsiTheme="minorHAnsi"/>
          <w:sz w:val="16"/>
          <w:szCs w:val="22"/>
          <w:lang w:val="it-IT"/>
        </w:rPr>
        <w:t xml:space="preserve">Riflessioni sulla storiografia greca della </w:t>
      </w:r>
      <w:proofErr w:type="spellStart"/>
      <w:r w:rsidRPr="00113C4F">
        <w:rPr>
          <w:rFonts w:asciiTheme="minorHAnsi" w:hAnsiTheme="minorHAnsi"/>
          <w:sz w:val="16"/>
          <w:szCs w:val="22"/>
          <w:lang w:val="it-IT"/>
        </w:rPr>
        <w:t>schiavit</w:t>
      </w:r>
      <w:proofErr w:type="spellEnd"/>
      <w:r w:rsidRPr="00113C4F">
        <w:rPr>
          <w:rFonts w:asciiTheme="minorHAnsi" w:hAnsiTheme="minorHAnsi"/>
          <w:sz w:val="16"/>
          <w:szCs w:val="22"/>
        </w:rPr>
        <w:t>ù’</w:t>
      </w:r>
      <w:r w:rsidRPr="00113C4F">
        <w:rPr>
          <w:rFonts w:asciiTheme="minorHAnsi" w:hAnsiTheme="minorHAnsi"/>
          <w:sz w:val="16"/>
          <w:szCs w:val="22"/>
          <w:lang w:val="it-IT"/>
        </w:rPr>
        <w:t xml:space="preserve">, in L. </w:t>
      </w:r>
      <w:proofErr w:type="spellStart"/>
      <w:r w:rsidRPr="00113C4F">
        <w:rPr>
          <w:rFonts w:asciiTheme="minorHAnsi" w:hAnsiTheme="minorHAnsi"/>
          <w:sz w:val="16"/>
          <w:szCs w:val="22"/>
          <w:lang w:val="it-IT"/>
        </w:rPr>
        <w:t>Sichirollo</w:t>
      </w:r>
      <w:proofErr w:type="spellEnd"/>
      <w:r w:rsidRPr="00113C4F">
        <w:rPr>
          <w:rFonts w:asciiTheme="minorHAnsi" w:hAnsiTheme="minorHAnsi"/>
          <w:sz w:val="16"/>
          <w:szCs w:val="22"/>
          <w:lang w:val="it-IT"/>
        </w:rPr>
        <w:t xml:space="preserve"> (a cura di), </w:t>
      </w:r>
      <w:proofErr w:type="spellStart"/>
      <w:r w:rsidRPr="00113C4F">
        <w:rPr>
          <w:rFonts w:asciiTheme="minorHAnsi" w:hAnsiTheme="minorHAnsi"/>
          <w:sz w:val="16"/>
          <w:szCs w:val="22"/>
          <w:lang w:val="it-IT"/>
        </w:rPr>
        <w:t>Schiavit</w:t>
      </w:r>
      <w:proofErr w:type="spellEnd"/>
      <w:r w:rsidRPr="00113C4F">
        <w:rPr>
          <w:rFonts w:asciiTheme="minorHAnsi" w:hAnsiTheme="minorHAnsi"/>
          <w:sz w:val="16"/>
          <w:szCs w:val="22"/>
        </w:rPr>
        <w:t xml:space="preserve">ù </w:t>
      </w:r>
      <w:r w:rsidRPr="00113C4F">
        <w:rPr>
          <w:rFonts w:asciiTheme="minorHAnsi" w:hAnsiTheme="minorHAnsi"/>
          <w:sz w:val="16"/>
          <w:szCs w:val="22"/>
          <w:lang w:val="it-IT"/>
        </w:rPr>
        <w:t>antica e moderna. Problemi, storia, istituzioni (Napoli, 1979), 159-181.</w:t>
      </w:r>
    </w:p>
    <w:p w14:paraId="7A3AFF5E" w14:textId="77777777" w:rsidR="00A87817" w:rsidRPr="00113C4F" w:rsidRDefault="00A87817" w:rsidP="00DD0D4A">
      <w:pPr>
        <w:pStyle w:val="Body"/>
        <w:spacing w:line="276" w:lineRule="auto"/>
        <w:jc w:val="both"/>
        <w:rPr>
          <w:rFonts w:asciiTheme="minorHAnsi" w:eastAsia="Palatino" w:hAnsiTheme="minorHAnsi" w:cs="Palatino"/>
          <w:sz w:val="16"/>
          <w:szCs w:val="22"/>
        </w:rPr>
      </w:pPr>
      <w:r w:rsidRPr="00113C4F">
        <w:rPr>
          <w:rFonts w:asciiTheme="minorHAnsi" w:hAnsiTheme="minorHAnsi"/>
          <w:sz w:val="16"/>
          <w:szCs w:val="22"/>
        </w:rPr>
        <w:t xml:space="preserve">W. L. </w:t>
      </w:r>
      <w:proofErr w:type="spellStart"/>
      <w:r w:rsidRPr="00113C4F">
        <w:rPr>
          <w:rFonts w:asciiTheme="minorHAnsi" w:hAnsiTheme="minorHAnsi"/>
          <w:sz w:val="16"/>
          <w:szCs w:val="22"/>
        </w:rPr>
        <w:t>Westermann</w:t>
      </w:r>
      <w:proofErr w:type="spellEnd"/>
      <w:r w:rsidRPr="00113C4F">
        <w:rPr>
          <w:rFonts w:asciiTheme="minorHAnsi" w:hAnsiTheme="minorHAnsi"/>
          <w:sz w:val="16"/>
          <w:szCs w:val="22"/>
        </w:rPr>
        <w:t xml:space="preserve"> The Slave System of Greek and Roman Antiquity (Philadelphia, 1955)</w:t>
      </w:r>
    </w:p>
    <w:p w14:paraId="4463A8DE"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113C4F">
        <w:rPr>
          <w:rFonts w:asciiTheme="minorHAnsi" w:hAnsiTheme="minorHAnsi"/>
          <w:sz w:val="16"/>
          <w:szCs w:val="22"/>
          <w:lang w:val="de-DE"/>
        </w:rPr>
        <w:t xml:space="preserve">W. L. Westermann, </w:t>
      </w:r>
      <w:r w:rsidRPr="00113C4F">
        <w:rPr>
          <w:rFonts w:asciiTheme="minorHAnsi" w:hAnsiTheme="minorHAnsi"/>
          <w:sz w:val="16"/>
          <w:szCs w:val="22"/>
        </w:rPr>
        <w:t>‘</w:t>
      </w:r>
      <w:proofErr w:type="spellStart"/>
      <w:r w:rsidRPr="00113C4F">
        <w:rPr>
          <w:rFonts w:asciiTheme="minorHAnsi" w:hAnsiTheme="minorHAnsi"/>
          <w:sz w:val="16"/>
          <w:szCs w:val="22"/>
        </w:rPr>
        <w:t>Athenaeus</w:t>
      </w:r>
      <w:proofErr w:type="spellEnd"/>
      <w:r w:rsidRPr="00113C4F">
        <w:rPr>
          <w:rFonts w:asciiTheme="minorHAnsi" w:hAnsiTheme="minorHAnsi"/>
          <w:sz w:val="16"/>
          <w:szCs w:val="22"/>
        </w:rPr>
        <w:t xml:space="preserve"> and the Slaves of Athens’, in Athenian Studies presented to W. Scott Ferguson (New York, 1973), 451-470.</w:t>
      </w:r>
    </w:p>
    <w:p w14:paraId="3E521FE5"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6F9E6676" w14:textId="77777777" w:rsidR="00A87817"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2EA51246" w14:textId="79238FC4" w:rsidR="00BC74F4" w:rsidRDefault="00BC74F4" w:rsidP="00B602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rPr>
        <w:t xml:space="preserve">Rachel </w:t>
      </w:r>
      <w:proofErr w:type="spellStart"/>
      <w:r w:rsidRPr="002F0628">
        <w:rPr>
          <w:rFonts w:asciiTheme="minorHAnsi" w:hAnsiTheme="minorHAnsi"/>
          <w:color w:val="000000"/>
          <w:sz w:val="22"/>
          <w:szCs w:val="22"/>
        </w:rPr>
        <w:t>Zelnick-Abramovitz</w:t>
      </w:r>
      <w:proofErr w:type="spellEnd"/>
      <w:r w:rsidR="00B60261">
        <w:rPr>
          <w:rFonts w:asciiTheme="minorHAnsi" w:hAnsiTheme="minorHAnsi"/>
          <w:color w:val="000000"/>
          <w:sz w:val="22"/>
          <w:szCs w:val="22"/>
        </w:rPr>
        <w:t xml:space="preserve"> (</w:t>
      </w:r>
      <w:r w:rsidRPr="002F0628">
        <w:rPr>
          <w:rFonts w:asciiTheme="minorHAnsi" w:hAnsiTheme="minorHAnsi"/>
          <w:color w:val="000000"/>
          <w:sz w:val="22"/>
          <w:szCs w:val="22"/>
        </w:rPr>
        <w:t>Tel-Aviv University</w:t>
      </w:r>
      <w:r w:rsidR="00B60261">
        <w:rPr>
          <w:rFonts w:asciiTheme="minorHAnsi" w:hAnsiTheme="minorHAnsi"/>
          <w:color w:val="000000"/>
          <w:sz w:val="22"/>
          <w:szCs w:val="22"/>
        </w:rPr>
        <w:t>)</w:t>
      </w:r>
    </w:p>
    <w:p w14:paraId="0794F910" w14:textId="644F4400" w:rsidR="00B60261" w:rsidRPr="002F0628" w:rsidRDefault="00B60261" w:rsidP="00B602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Pr>
          <w:rFonts w:asciiTheme="minorHAnsi" w:hAnsiTheme="minorHAnsi"/>
          <w:color w:val="000000"/>
          <w:sz w:val="22"/>
          <w:szCs w:val="22"/>
        </w:rPr>
        <w:t>rachelze@post.tau.ac.il</w:t>
      </w:r>
    </w:p>
    <w:p w14:paraId="4FF09256" w14:textId="77777777" w:rsidR="00B60261" w:rsidRDefault="00B60261"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Style w:val="Hyperlink3"/>
          <w:rFonts w:asciiTheme="minorHAnsi" w:hAnsiTheme="minorHAnsi"/>
          <w:color w:val="000000"/>
          <w:sz w:val="22"/>
          <w:szCs w:val="22"/>
          <w:u w:color="1154CB"/>
          <w:lang w:val="de-DE"/>
        </w:rPr>
      </w:pPr>
    </w:p>
    <w:p w14:paraId="449756F0" w14:textId="39E87B15" w:rsidR="004862D3" w:rsidRPr="004862D3" w:rsidRDefault="004862D3" w:rsidP="004862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4862D3">
        <w:rPr>
          <w:rFonts w:asciiTheme="minorHAnsi" w:hAnsiTheme="minorHAnsi"/>
          <w:b/>
          <w:bCs/>
          <w:color w:val="000000"/>
          <w:sz w:val="22"/>
          <w:szCs w:val="22"/>
        </w:rPr>
        <w:t>Half Slave, Half Free: Partial Manumission and Its Legal, Economic and Social Significance</w:t>
      </w:r>
    </w:p>
    <w:p w14:paraId="7A3FEFCA" w14:textId="77777777" w:rsidR="004862D3" w:rsidRPr="004862D3" w:rsidRDefault="004862D3" w:rsidP="004862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4862D3">
        <w:rPr>
          <w:rFonts w:asciiTheme="minorHAnsi" w:hAnsiTheme="minorHAnsi"/>
          <w:color w:val="000000"/>
          <w:sz w:val="22"/>
          <w:szCs w:val="22"/>
        </w:rPr>
        <w:t xml:space="preserve">This paper discusses the peculiar phenomenon of partial manumission and its possible meaning and ramifications. Three Greek papyri from Roman Egypt mention partial manumission. In the first, two brothers jointly manumit one-third of a female slave whose other two-thirds had already been </w:t>
      </w:r>
      <w:r w:rsidRPr="004862D3">
        <w:rPr>
          <w:rFonts w:asciiTheme="minorHAnsi" w:hAnsiTheme="minorHAnsi"/>
          <w:color w:val="000000"/>
          <w:sz w:val="22"/>
          <w:szCs w:val="22"/>
        </w:rPr>
        <w:lastRenderedPageBreak/>
        <w:t>manumitted. In the second papyrus, the guardians of three minor brothers apply for permission to put on auction their wards’ two-thirds share in their inherited slave; the remaining third had been manumitted already by their half-brother. In the third case a woman manumits her share in three slaves she inherited from her mother.</w:t>
      </w:r>
    </w:p>
    <w:p w14:paraId="01DF113F" w14:textId="77777777" w:rsidR="004862D3" w:rsidRPr="004862D3" w:rsidRDefault="004862D3" w:rsidP="004862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4862D3">
        <w:rPr>
          <w:rFonts w:asciiTheme="minorHAnsi" w:hAnsiTheme="minorHAnsi"/>
          <w:color w:val="000000"/>
          <w:sz w:val="22"/>
          <w:szCs w:val="22"/>
        </w:rPr>
        <w:t xml:space="preserve">Joint ownership is attested in many parts of the Greek world, usually within the framework of the household and in consequence of inheritance. Evidence from Ptolemaic and Roman Egypt also shows parents and children, or siblings, holding unequal shares in undivided ownership of slaves. This situation poses important legal, social and practical questions, the most immediate of which is how the work of a slave owned by more than one person in unequal shares was divided among the owners. In some cases, probably to bypass such difficulties which might lead to legal disputes (of which we have ample evidence) and to put an end to the joint ownership, owners sold their shares to their co-owners or all the joint owners decided to sell the slave together. </w:t>
      </w:r>
    </w:p>
    <w:p w14:paraId="65A550E9" w14:textId="77777777" w:rsidR="004862D3" w:rsidRPr="004862D3" w:rsidRDefault="004862D3" w:rsidP="004862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4862D3">
        <w:rPr>
          <w:rFonts w:asciiTheme="minorHAnsi" w:hAnsiTheme="minorHAnsi"/>
          <w:color w:val="000000"/>
          <w:sz w:val="22"/>
          <w:szCs w:val="22"/>
        </w:rPr>
        <w:t>But partial manumission raises even more intricate questions: What were the motives for partial manumission? How could an enslaved human being be partly alienated? What in real life was the position of a slave of whom two-thirds were free and the other third was still in slavery? How can we understand the status of a slave one-third free whose other two-thirds were sold at auction — and what could have been the motives of potential buyers to purchase only a part of a slave? Can economic factors, both on “national” level and in the sphere of the private family, explain this phenomenon? For instance, some scholars working on slavery in Greco-Roman Egypt have associated partial manumission with the under-developed economy and with the general scarcity of slaves and their dominance in households. Another related question is whether these papyri reflect local, Greek or Roman practices and laws.</w:t>
      </w:r>
    </w:p>
    <w:p w14:paraId="121DEF3D" w14:textId="77777777" w:rsidR="004862D3" w:rsidRPr="004862D3" w:rsidRDefault="004862D3" w:rsidP="004862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4862D3">
        <w:rPr>
          <w:rFonts w:asciiTheme="minorHAnsi" w:hAnsiTheme="minorHAnsi"/>
          <w:color w:val="000000"/>
          <w:sz w:val="22"/>
          <w:szCs w:val="22"/>
        </w:rPr>
        <w:t xml:space="preserve">In this paper I try to answer these questions by means of texts from other places and periods. Although the evidence from Roman Egypt is meager, similar phenomena are attested in geographically and chronologically dispersed cultures such as </w:t>
      </w:r>
      <w:proofErr w:type="spellStart"/>
      <w:r w:rsidRPr="004862D3">
        <w:rPr>
          <w:rFonts w:asciiTheme="minorHAnsi" w:hAnsiTheme="minorHAnsi"/>
          <w:color w:val="000000"/>
          <w:sz w:val="22"/>
          <w:szCs w:val="22"/>
        </w:rPr>
        <w:t>Eretz</w:t>
      </w:r>
      <w:proofErr w:type="spellEnd"/>
      <w:r w:rsidRPr="004862D3">
        <w:rPr>
          <w:rFonts w:asciiTheme="minorHAnsi" w:hAnsiTheme="minorHAnsi"/>
          <w:color w:val="000000"/>
          <w:sz w:val="22"/>
          <w:szCs w:val="22"/>
        </w:rPr>
        <w:t xml:space="preserve"> Israel during the Second Temple, Sassanid Iran, medieval India and Portugal, and sixteenth-century Cuba. Comparing these sources might help us understand this curious practice.     </w:t>
      </w:r>
    </w:p>
    <w:p w14:paraId="1D9DB0FA"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459B1653"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695F14F9" w14:textId="7E52D76E" w:rsidR="008D4A64" w:rsidRPr="002F0628" w:rsidRDefault="00B60261" w:rsidP="00B602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Pr>
          <w:rFonts w:asciiTheme="minorHAnsi" w:hAnsiTheme="minorHAnsi"/>
          <w:color w:val="000000"/>
          <w:sz w:val="22"/>
          <w:szCs w:val="22"/>
        </w:rPr>
        <w:t xml:space="preserve">Juan P. </w:t>
      </w:r>
      <w:r w:rsidR="008D4A64" w:rsidRPr="002F0628">
        <w:rPr>
          <w:rFonts w:asciiTheme="minorHAnsi" w:hAnsiTheme="minorHAnsi"/>
          <w:color w:val="000000"/>
          <w:sz w:val="22"/>
          <w:szCs w:val="22"/>
        </w:rPr>
        <w:t>Lewis</w:t>
      </w:r>
      <w:r>
        <w:rPr>
          <w:rFonts w:asciiTheme="minorHAnsi" w:hAnsiTheme="minorHAnsi"/>
          <w:color w:val="000000"/>
          <w:sz w:val="22"/>
          <w:szCs w:val="22"/>
        </w:rPr>
        <w:t xml:space="preserve"> (</w:t>
      </w:r>
      <w:r w:rsidR="008D4A64" w:rsidRPr="002F0628">
        <w:rPr>
          <w:rFonts w:asciiTheme="minorHAnsi" w:hAnsiTheme="minorHAnsi"/>
          <w:color w:val="000000"/>
          <w:sz w:val="22"/>
          <w:szCs w:val="22"/>
        </w:rPr>
        <w:t>University of Edinburgh</w:t>
      </w:r>
      <w:r>
        <w:rPr>
          <w:rFonts w:asciiTheme="minorHAnsi" w:hAnsiTheme="minorHAnsi"/>
          <w:color w:val="000000"/>
          <w:sz w:val="22"/>
          <w:szCs w:val="22"/>
        </w:rPr>
        <w:t>)</w:t>
      </w:r>
    </w:p>
    <w:p w14:paraId="7FB4854C"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roofErr w:type="gramStart"/>
      <w:r w:rsidRPr="002F0628">
        <w:rPr>
          <w:rFonts w:asciiTheme="minorHAnsi" w:hAnsiTheme="minorHAnsi"/>
          <w:color w:val="000000"/>
          <w:sz w:val="22"/>
          <w:szCs w:val="22"/>
        </w:rPr>
        <w:t>juan.lewis@ed.ac.uk</w:t>
      </w:r>
      <w:proofErr w:type="gramEnd"/>
    </w:p>
    <w:p w14:paraId="4B6AA394"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55123F0E" w14:textId="58A6B736"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color w:val="000000"/>
          <w:sz w:val="22"/>
          <w:szCs w:val="22"/>
        </w:rPr>
      </w:pPr>
      <w:r w:rsidRPr="002F0628">
        <w:rPr>
          <w:rFonts w:asciiTheme="minorHAnsi" w:hAnsiTheme="minorHAnsi"/>
          <w:b/>
          <w:color w:val="000000"/>
          <w:sz w:val="22"/>
          <w:szCs w:val="22"/>
        </w:rPr>
        <w:t>The purpose of Domitian</w:t>
      </w:r>
      <w:r w:rsidRPr="002F0628">
        <w:rPr>
          <w:rFonts w:asciiTheme="minorHAnsi" w:hAnsiTheme="minorHAnsi"/>
          <w:b/>
          <w:color w:val="000000"/>
          <w:sz w:val="22"/>
          <w:szCs w:val="22"/>
          <w:lang w:val="fr-FR"/>
        </w:rPr>
        <w:t>’</w:t>
      </w:r>
      <w:r w:rsidR="00B60261">
        <w:rPr>
          <w:rFonts w:asciiTheme="minorHAnsi" w:hAnsiTheme="minorHAnsi"/>
          <w:b/>
          <w:color w:val="000000"/>
          <w:sz w:val="22"/>
          <w:szCs w:val="22"/>
        </w:rPr>
        <w:t>s Prohibition of Emasculation</w:t>
      </w:r>
    </w:p>
    <w:p w14:paraId="6BAB9EEA"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This paper discusses the aims of Domitian</w:t>
      </w:r>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decree banning emasculation and other pieces of legislation related to it. Some scholars have seen these provisions as part of a wider imperial policy to protect slaves against abuses (e.g. </w:t>
      </w:r>
      <w:proofErr w:type="spellStart"/>
      <w:r w:rsidRPr="002F0628">
        <w:rPr>
          <w:rFonts w:asciiTheme="minorHAnsi" w:hAnsiTheme="minorHAnsi"/>
          <w:color w:val="000000"/>
          <w:sz w:val="22"/>
          <w:szCs w:val="22"/>
        </w:rPr>
        <w:t>Guyot</w:t>
      </w:r>
      <w:proofErr w:type="spellEnd"/>
      <w:r w:rsidRPr="002F0628">
        <w:rPr>
          <w:rFonts w:asciiTheme="minorHAnsi" w:hAnsiTheme="minorHAnsi"/>
          <w:color w:val="000000"/>
          <w:sz w:val="22"/>
          <w:szCs w:val="22"/>
        </w:rPr>
        <w:t xml:space="preserve"> 1980, </w:t>
      </w:r>
      <w:proofErr w:type="spellStart"/>
      <w:r w:rsidRPr="002F0628">
        <w:rPr>
          <w:rFonts w:asciiTheme="minorHAnsi" w:hAnsiTheme="minorHAnsi"/>
          <w:color w:val="000000"/>
          <w:sz w:val="22"/>
          <w:szCs w:val="22"/>
        </w:rPr>
        <w:t>Boulvert</w:t>
      </w:r>
      <w:proofErr w:type="spellEnd"/>
      <w:r w:rsidRPr="002F0628">
        <w:rPr>
          <w:rFonts w:asciiTheme="minorHAnsi" w:hAnsiTheme="minorHAnsi"/>
          <w:color w:val="000000"/>
          <w:sz w:val="22"/>
          <w:szCs w:val="22"/>
        </w:rPr>
        <w:t xml:space="preserve"> and </w:t>
      </w:r>
      <w:proofErr w:type="spellStart"/>
      <w:r w:rsidRPr="002F0628">
        <w:rPr>
          <w:rFonts w:asciiTheme="minorHAnsi" w:hAnsiTheme="minorHAnsi"/>
          <w:color w:val="000000"/>
          <w:sz w:val="22"/>
          <w:szCs w:val="22"/>
        </w:rPr>
        <w:t>Morabito</w:t>
      </w:r>
      <w:proofErr w:type="spellEnd"/>
      <w:r w:rsidRPr="002F0628">
        <w:rPr>
          <w:rFonts w:asciiTheme="minorHAnsi" w:hAnsiTheme="minorHAnsi"/>
          <w:color w:val="000000"/>
          <w:sz w:val="22"/>
          <w:szCs w:val="22"/>
        </w:rPr>
        <w:t xml:space="preserve"> 1982, Watson 1987). Others have seen them as a manifestation of the Roman moralistic repulsion against eunuchs (</w:t>
      </w:r>
      <w:proofErr w:type="spellStart"/>
      <w:r w:rsidRPr="002F0628">
        <w:rPr>
          <w:rFonts w:asciiTheme="minorHAnsi" w:hAnsiTheme="minorHAnsi"/>
          <w:color w:val="000000"/>
          <w:sz w:val="22"/>
          <w:szCs w:val="22"/>
        </w:rPr>
        <w:t>Scholz</w:t>
      </w:r>
      <w:proofErr w:type="spellEnd"/>
      <w:r w:rsidRPr="002F0628">
        <w:rPr>
          <w:rFonts w:asciiTheme="minorHAnsi" w:hAnsiTheme="minorHAnsi"/>
          <w:color w:val="000000"/>
          <w:sz w:val="22"/>
          <w:szCs w:val="22"/>
        </w:rPr>
        <w:t xml:space="preserve"> 2001, Tougher 2008). As castration survived after the decree was passed and the prohibition was later either reenacted or enforced, most scholars agree that such legislation was, in Buckland</w:t>
      </w:r>
      <w:r w:rsidRPr="002F0628">
        <w:rPr>
          <w:rFonts w:asciiTheme="minorHAnsi" w:hAnsiTheme="minorHAnsi"/>
          <w:color w:val="000000"/>
          <w:sz w:val="22"/>
          <w:szCs w:val="22"/>
          <w:lang w:val="fr-FR"/>
        </w:rPr>
        <w:t>’</w:t>
      </w:r>
      <w:r w:rsidRPr="002F0628">
        <w:rPr>
          <w:rFonts w:asciiTheme="minorHAnsi" w:hAnsiTheme="minorHAnsi"/>
          <w:color w:val="000000"/>
          <w:sz w:val="22"/>
          <w:szCs w:val="22"/>
          <w:lang w:val="nl-NL"/>
        </w:rPr>
        <w:t xml:space="preserve">s </w:t>
      </w:r>
      <w:proofErr w:type="spellStart"/>
      <w:r w:rsidRPr="002F0628">
        <w:rPr>
          <w:rFonts w:asciiTheme="minorHAnsi" w:hAnsiTheme="minorHAnsi"/>
          <w:color w:val="000000"/>
          <w:sz w:val="22"/>
          <w:szCs w:val="22"/>
          <w:lang w:val="nl-NL"/>
        </w:rPr>
        <w:t>words</w:t>
      </w:r>
      <w:proofErr w:type="spellEnd"/>
      <w:r w:rsidRPr="002F0628">
        <w:rPr>
          <w:rFonts w:asciiTheme="minorHAnsi" w:hAnsiTheme="minorHAnsi"/>
          <w:color w:val="000000"/>
          <w:sz w:val="22"/>
          <w:szCs w:val="22"/>
          <w:lang w:val="nl-NL"/>
        </w:rPr>
        <w:t xml:space="preserve">, </w:t>
      </w:r>
      <w:r w:rsidRPr="002F0628">
        <w:rPr>
          <w:rFonts w:asciiTheme="minorHAnsi" w:hAnsiTheme="minorHAnsi"/>
          <w:color w:val="000000"/>
          <w:sz w:val="22"/>
          <w:szCs w:val="22"/>
        </w:rPr>
        <w:t>‘ineffective</w:t>
      </w:r>
      <w:r w:rsidRPr="002F0628">
        <w:rPr>
          <w:rFonts w:asciiTheme="minorHAnsi" w:hAnsiTheme="minorHAnsi"/>
          <w:color w:val="000000"/>
          <w:sz w:val="22"/>
          <w:szCs w:val="22"/>
          <w:lang w:val="fr-FR"/>
        </w:rPr>
        <w:t xml:space="preserve">’ </w:t>
      </w:r>
      <w:r w:rsidRPr="002F0628">
        <w:rPr>
          <w:rFonts w:asciiTheme="minorHAnsi" w:hAnsiTheme="minorHAnsi"/>
          <w:color w:val="000000"/>
          <w:sz w:val="22"/>
          <w:szCs w:val="22"/>
        </w:rPr>
        <w:t>(Buckland 1908). I will argue that these analyses overlook Domitian</w:t>
      </w:r>
      <w:r w:rsidRPr="002F0628">
        <w:rPr>
          <w:rFonts w:asciiTheme="minorHAnsi" w:hAnsiTheme="minorHAnsi"/>
          <w:color w:val="000000"/>
          <w:sz w:val="22"/>
          <w:szCs w:val="22"/>
          <w:lang w:val="fr-FR"/>
        </w:rPr>
        <w:t>’</w:t>
      </w:r>
      <w:r w:rsidRPr="002F0628">
        <w:rPr>
          <w:rFonts w:asciiTheme="minorHAnsi" w:hAnsiTheme="minorHAnsi"/>
          <w:color w:val="000000"/>
          <w:sz w:val="22"/>
          <w:szCs w:val="22"/>
        </w:rPr>
        <w:t>s immediate purposes and are based on a misunderstanding of how the Roman law machinery worked. In the first part of the paper, I will propose a reconstruction of the wording of the original decree, and, drawing upon this text restoration, I will argue that the banning of castration was not introduced with slaves</w:t>
      </w:r>
      <w:r w:rsidRPr="002F0628">
        <w:rPr>
          <w:rFonts w:asciiTheme="minorHAnsi" w:hAnsiTheme="minorHAnsi"/>
          <w:color w:val="000000"/>
          <w:sz w:val="22"/>
          <w:szCs w:val="22"/>
          <w:lang w:val="fr-FR"/>
        </w:rPr>
        <w:t xml:space="preserve">’ </w:t>
      </w:r>
      <w:r w:rsidRPr="002F0628">
        <w:rPr>
          <w:rFonts w:asciiTheme="minorHAnsi" w:hAnsiTheme="minorHAnsi"/>
          <w:color w:val="000000"/>
          <w:sz w:val="22"/>
          <w:szCs w:val="22"/>
        </w:rPr>
        <w:t>welfare in mind. In fact, far from protecting slaves against abuses, the ban closed off one of the few paths available to slaves to acquire prominence and power. Instead, the prohibition was mostly prompted by a desire to limit profiteering by the slave owning classes, which was part of Domitian</w:t>
      </w:r>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struggle to consolidate his authority among the upper echelons of Roman society. In the second part of the paper, I will argue that </w:t>
      </w:r>
      <w:r w:rsidRPr="002F0628">
        <w:rPr>
          <w:rFonts w:asciiTheme="minorHAnsi" w:hAnsiTheme="minorHAnsi"/>
          <w:color w:val="000000"/>
          <w:sz w:val="22"/>
          <w:szCs w:val="22"/>
        </w:rPr>
        <w:lastRenderedPageBreak/>
        <w:t>the existence of post-</w:t>
      </w:r>
      <w:proofErr w:type="spellStart"/>
      <w:r w:rsidRPr="002F0628">
        <w:rPr>
          <w:rFonts w:asciiTheme="minorHAnsi" w:hAnsiTheme="minorHAnsi"/>
          <w:color w:val="000000"/>
          <w:sz w:val="22"/>
          <w:szCs w:val="22"/>
        </w:rPr>
        <w:t>Domitianic</w:t>
      </w:r>
      <w:proofErr w:type="spellEnd"/>
      <w:r w:rsidRPr="002F0628">
        <w:rPr>
          <w:rFonts w:asciiTheme="minorHAnsi" w:hAnsiTheme="minorHAnsi"/>
          <w:color w:val="000000"/>
          <w:sz w:val="22"/>
          <w:szCs w:val="22"/>
        </w:rPr>
        <w:t xml:space="preserve"> imperial rescripts punishing the castration of males in the provinces should not be construed as proof of the ineffectiveness of the ban. Instead, these imperial interventions were part of the procedure through which Domitian</w:t>
      </w:r>
      <w:r w:rsidRPr="002F0628">
        <w:rPr>
          <w:rFonts w:asciiTheme="minorHAnsi" w:hAnsiTheme="minorHAnsi"/>
          <w:color w:val="000000"/>
          <w:sz w:val="22"/>
          <w:szCs w:val="22"/>
          <w:lang w:val="fr-FR"/>
        </w:rPr>
        <w:t>’</w:t>
      </w:r>
      <w:r w:rsidRPr="002F0628">
        <w:rPr>
          <w:rFonts w:asciiTheme="minorHAnsi" w:hAnsiTheme="minorHAnsi"/>
          <w:color w:val="000000"/>
          <w:sz w:val="22"/>
          <w:szCs w:val="22"/>
        </w:rPr>
        <w:t>s decree was made effective even in the remotest corners of the empire.</w:t>
      </w:r>
    </w:p>
    <w:p w14:paraId="3C0ED49B"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1FFF0FAF"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References</w:t>
      </w:r>
    </w:p>
    <w:p w14:paraId="17096A18" w14:textId="77777777" w:rsidR="008D4A64" w:rsidRPr="00B60261"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4"/>
          <w:szCs w:val="22"/>
        </w:rPr>
      </w:pPr>
      <w:r w:rsidRPr="00B60261">
        <w:rPr>
          <w:rFonts w:asciiTheme="minorHAnsi" w:hAnsiTheme="minorHAnsi"/>
          <w:color w:val="000000"/>
          <w:sz w:val="14"/>
          <w:szCs w:val="22"/>
        </w:rPr>
        <w:t xml:space="preserve">Buckland, W. (1908) The Roman </w:t>
      </w:r>
      <w:proofErr w:type="gramStart"/>
      <w:r w:rsidRPr="00B60261">
        <w:rPr>
          <w:rFonts w:asciiTheme="minorHAnsi" w:hAnsiTheme="minorHAnsi"/>
          <w:color w:val="000000"/>
          <w:sz w:val="14"/>
          <w:szCs w:val="22"/>
        </w:rPr>
        <w:t>Law</w:t>
      </w:r>
      <w:proofErr w:type="gramEnd"/>
      <w:r w:rsidRPr="00B60261">
        <w:rPr>
          <w:rFonts w:asciiTheme="minorHAnsi" w:hAnsiTheme="minorHAnsi"/>
          <w:color w:val="000000"/>
          <w:sz w:val="14"/>
          <w:szCs w:val="22"/>
        </w:rPr>
        <w:t xml:space="preserve"> of Slavery. Cambridge. </w:t>
      </w:r>
    </w:p>
    <w:p w14:paraId="5F37D310" w14:textId="77777777" w:rsidR="008D4A64" w:rsidRPr="00B60261"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4"/>
          <w:szCs w:val="22"/>
        </w:rPr>
      </w:pPr>
      <w:proofErr w:type="spellStart"/>
      <w:r w:rsidRPr="00B60261">
        <w:rPr>
          <w:rFonts w:asciiTheme="minorHAnsi" w:hAnsiTheme="minorHAnsi"/>
          <w:color w:val="000000"/>
          <w:sz w:val="14"/>
          <w:szCs w:val="22"/>
        </w:rPr>
        <w:t>Boulvert</w:t>
      </w:r>
      <w:proofErr w:type="spellEnd"/>
      <w:r w:rsidRPr="00B60261">
        <w:rPr>
          <w:rFonts w:asciiTheme="minorHAnsi" w:hAnsiTheme="minorHAnsi"/>
          <w:color w:val="000000"/>
          <w:sz w:val="14"/>
          <w:szCs w:val="22"/>
        </w:rPr>
        <w:t xml:space="preserve">, G. and M. </w:t>
      </w:r>
      <w:proofErr w:type="spellStart"/>
      <w:r w:rsidRPr="00B60261">
        <w:rPr>
          <w:rFonts w:asciiTheme="minorHAnsi" w:hAnsiTheme="minorHAnsi"/>
          <w:color w:val="000000"/>
          <w:sz w:val="14"/>
          <w:szCs w:val="22"/>
        </w:rPr>
        <w:t>Morabito</w:t>
      </w:r>
      <w:proofErr w:type="spellEnd"/>
      <w:r w:rsidRPr="00B60261">
        <w:rPr>
          <w:rFonts w:asciiTheme="minorHAnsi" w:hAnsiTheme="minorHAnsi"/>
          <w:color w:val="000000"/>
          <w:sz w:val="14"/>
          <w:szCs w:val="22"/>
        </w:rPr>
        <w:t xml:space="preserve"> (1982) ‘</w:t>
      </w:r>
      <w:r w:rsidRPr="00B60261">
        <w:rPr>
          <w:rFonts w:asciiTheme="minorHAnsi" w:hAnsiTheme="minorHAnsi"/>
          <w:color w:val="000000"/>
          <w:sz w:val="14"/>
          <w:szCs w:val="22"/>
          <w:lang w:val="fr-FR"/>
        </w:rPr>
        <w:t xml:space="preserve">Le droit de l’esclavage sous le Haut-Empire,’ </w:t>
      </w:r>
      <w:proofErr w:type="gramStart"/>
      <w:r w:rsidRPr="00B60261">
        <w:rPr>
          <w:rFonts w:asciiTheme="minorHAnsi" w:hAnsiTheme="minorHAnsi"/>
          <w:color w:val="000000"/>
          <w:sz w:val="14"/>
          <w:szCs w:val="22"/>
        </w:rPr>
        <w:t>ANRW  14</w:t>
      </w:r>
      <w:proofErr w:type="gramEnd"/>
      <w:r w:rsidRPr="00B60261">
        <w:rPr>
          <w:rFonts w:asciiTheme="minorHAnsi" w:hAnsiTheme="minorHAnsi"/>
          <w:color w:val="000000"/>
          <w:sz w:val="14"/>
          <w:szCs w:val="22"/>
        </w:rPr>
        <w:t xml:space="preserve">: 98-182.  </w:t>
      </w:r>
    </w:p>
    <w:p w14:paraId="7BA8FD6D" w14:textId="77777777" w:rsidR="008D4A64" w:rsidRPr="00B60261"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4"/>
          <w:szCs w:val="22"/>
        </w:rPr>
      </w:pPr>
      <w:proofErr w:type="spellStart"/>
      <w:r w:rsidRPr="00B60261">
        <w:rPr>
          <w:rFonts w:asciiTheme="minorHAnsi" w:hAnsiTheme="minorHAnsi"/>
          <w:color w:val="000000"/>
          <w:sz w:val="14"/>
          <w:szCs w:val="22"/>
          <w:lang w:val="de-DE"/>
        </w:rPr>
        <w:t>Guyot</w:t>
      </w:r>
      <w:proofErr w:type="spellEnd"/>
      <w:r w:rsidRPr="00B60261">
        <w:rPr>
          <w:rFonts w:asciiTheme="minorHAnsi" w:hAnsiTheme="minorHAnsi"/>
          <w:color w:val="000000"/>
          <w:sz w:val="14"/>
          <w:szCs w:val="22"/>
          <w:lang w:val="de-DE"/>
        </w:rPr>
        <w:t>, P. (1980) Eunuchen als Sklaven und Freigelassene in der griechisch-r</w:t>
      </w:r>
      <w:r w:rsidRPr="00B60261">
        <w:rPr>
          <w:rFonts w:asciiTheme="minorHAnsi" w:hAnsiTheme="minorHAnsi"/>
          <w:color w:val="000000"/>
          <w:sz w:val="14"/>
          <w:szCs w:val="22"/>
        </w:rPr>
        <w:t>ö</w:t>
      </w:r>
      <w:r w:rsidRPr="00B60261">
        <w:rPr>
          <w:rFonts w:asciiTheme="minorHAnsi" w:hAnsiTheme="minorHAnsi"/>
          <w:color w:val="000000"/>
          <w:sz w:val="14"/>
          <w:szCs w:val="22"/>
          <w:lang w:val="de-DE"/>
        </w:rPr>
        <w:t xml:space="preserve">mischen Antike. Stuttgart. </w:t>
      </w:r>
    </w:p>
    <w:p w14:paraId="1D0F3F07" w14:textId="77777777" w:rsidR="008D4A64" w:rsidRPr="00B60261"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4"/>
          <w:szCs w:val="22"/>
        </w:rPr>
      </w:pPr>
      <w:proofErr w:type="spellStart"/>
      <w:r w:rsidRPr="00B60261">
        <w:rPr>
          <w:rFonts w:asciiTheme="minorHAnsi" w:hAnsiTheme="minorHAnsi"/>
          <w:color w:val="000000"/>
          <w:sz w:val="14"/>
          <w:szCs w:val="22"/>
        </w:rPr>
        <w:t>Scholz</w:t>
      </w:r>
      <w:proofErr w:type="spellEnd"/>
      <w:r w:rsidRPr="00B60261">
        <w:rPr>
          <w:rFonts w:asciiTheme="minorHAnsi" w:hAnsiTheme="minorHAnsi"/>
          <w:color w:val="000000"/>
          <w:sz w:val="14"/>
          <w:szCs w:val="22"/>
        </w:rPr>
        <w:t xml:space="preserve">, P. (2001) Eunuchs and Castrati: A Cultural History. Princeton. </w:t>
      </w:r>
    </w:p>
    <w:p w14:paraId="6CF1AFE7" w14:textId="77777777" w:rsidR="008D4A64" w:rsidRPr="00B60261"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4"/>
          <w:szCs w:val="22"/>
        </w:rPr>
      </w:pPr>
      <w:r w:rsidRPr="00B60261">
        <w:rPr>
          <w:rFonts w:asciiTheme="minorHAnsi" w:hAnsiTheme="minorHAnsi"/>
          <w:color w:val="000000"/>
          <w:sz w:val="14"/>
          <w:szCs w:val="22"/>
        </w:rPr>
        <w:t xml:space="preserve">Tougher, S. (2008) The Eunuch in Byzantine History and Society. London. </w:t>
      </w:r>
    </w:p>
    <w:p w14:paraId="69B44E22" w14:textId="0EF6323F"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roofErr w:type="gramStart"/>
      <w:r w:rsidRPr="00B60261">
        <w:rPr>
          <w:rFonts w:asciiTheme="minorHAnsi" w:hAnsiTheme="minorHAnsi"/>
          <w:color w:val="000000"/>
          <w:sz w:val="14"/>
          <w:szCs w:val="22"/>
        </w:rPr>
        <w:t>Watson, A. (1987) Roman Slave Law.</w:t>
      </w:r>
      <w:proofErr w:type="gramEnd"/>
      <w:r w:rsidRPr="00B60261">
        <w:rPr>
          <w:rFonts w:asciiTheme="minorHAnsi" w:hAnsiTheme="minorHAnsi"/>
          <w:color w:val="000000"/>
          <w:sz w:val="14"/>
          <w:szCs w:val="22"/>
        </w:rPr>
        <w:t xml:space="preserve"> Baltimore and London.</w:t>
      </w:r>
    </w:p>
    <w:p w14:paraId="34EACC4C" w14:textId="77777777" w:rsidR="00BC74F4" w:rsidRPr="002F0628" w:rsidRDefault="00BC74F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22A03D18" w14:textId="77777777" w:rsidR="00BC74F4" w:rsidRPr="002F0628" w:rsidRDefault="00BC74F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7768E611" w14:textId="77777777" w:rsidR="00B60261" w:rsidRDefault="00B60261" w:rsidP="00DD0D4A">
      <w:pPr>
        <w:spacing w:line="276" w:lineRule="auto"/>
        <w:jc w:val="both"/>
        <w:rPr>
          <w:rFonts w:asciiTheme="minorHAnsi" w:hAnsiTheme="minorHAnsi"/>
          <w:sz w:val="22"/>
          <w:szCs w:val="22"/>
        </w:rPr>
      </w:pPr>
    </w:p>
    <w:p w14:paraId="40A113EC" w14:textId="77777777" w:rsidR="00500A79" w:rsidRPr="002F0628" w:rsidRDefault="00500A79" w:rsidP="00DD0D4A">
      <w:pPr>
        <w:spacing w:line="276" w:lineRule="auto"/>
        <w:jc w:val="both"/>
        <w:rPr>
          <w:rFonts w:asciiTheme="minorHAnsi" w:hAnsiTheme="minorHAnsi"/>
          <w:sz w:val="22"/>
          <w:szCs w:val="22"/>
        </w:rPr>
      </w:pPr>
      <w:r w:rsidRPr="002F0628">
        <w:rPr>
          <w:rFonts w:asciiTheme="minorHAnsi" w:hAnsiTheme="minorHAnsi"/>
          <w:sz w:val="22"/>
          <w:szCs w:val="22"/>
        </w:rPr>
        <w:t>SESSION FIVE (HEBREW): 17:30-19:00</w:t>
      </w:r>
    </w:p>
    <w:p w14:paraId="7E862E88" w14:textId="77777777" w:rsidR="00500A79" w:rsidRPr="002F0628" w:rsidRDefault="00500A79" w:rsidP="00DD0D4A">
      <w:pPr>
        <w:spacing w:line="276" w:lineRule="auto"/>
        <w:jc w:val="both"/>
        <w:rPr>
          <w:rFonts w:asciiTheme="minorHAnsi" w:hAnsiTheme="minorHAnsi"/>
          <w:sz w:val="22"/>
          <w:szCs w:val="22"/>
        </w:rPr>
      </w:pPr>
      <w:r w:rsidRPr="002F0628">
        <w:rPr>
          <w:rFonts w:asciiTheme="minorHAnsi" w:hAnsiTheme="minorHAnsi"/>
          <w:sz w:val="22"/>
          <w:szCs w:val="22"/>
        </w:rPr>
        <w:t>THE TRANSLATION PROJECT OF AHARON SHABTAI</w:t>
      </w:r>
    </w:p>
    <w:p w14:paraId="7CB41A87" w14:textId="77777777" w:rsidR="00500A79" w:rsidRPr="002F0628" w:rsidRDefault="00500A79"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Chair: </w:t>
      </w:r>
      <w:proofErr w:type="spellStart"/>
      <w:r w:rsidRPr="002F0628">
        <w:rPr>
          <w:rFonts w:asciiTheme="minorHAnsi" w:hAnsiTheme="minorHAnsi"/>
          <w:sz w:val="22"/>
          <w:szCs w:val="22"/>
        </w:rPr>
        <w:t>Avi</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Avidov</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Beit</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Berl</w:t>
      </w:r>
      <w:proofErr w:type="spellEnd"/>
      <w:r w:rsidRPr="002F0628">
        <w:rPr>
          <w:rFonts w:asciiTheme="minorHAnsi" w:hAnsiTheme="minorHAnsi"/>
          <w:sz w:val="22"/>
          <w:szCs w:val="22"/>
        </w:rPr>
        <w:t xml:space="preserve"> College)</w:t>
      </w:r>
    </w:p>
    <w:p w14:paraId="246AA874" w14:textId="77777777" w:rsidR="00500A79" w:rsidRPr="002F0628" w:rsidRDefault="00500A79" w:rsidP="00DD0D4A">
      <w:pPr>
        <w:spacing w:line="276" w:lineRule="auto"/>
        <w:jc w:val="both"/>
        <w:rPr>
          <w:rFonts w:asciiTheme="minorHAnsi" w:hAnsiTheme="minorHAnsi"/>
          <w:sz w:val="22"/>
          <w:szCs w:val="22"/>
        </w:rPr>
      </w:pPr>
    </w:p>
    <w:p w14:paraId="3E1BC102" w14:textId="77777777" w:rsidR="00500A79" w:rsidRPr="002F0628" w:rsidRDefault="00500A79" w:rsidP="00DD0D4A">
      <w:pPr>
        <w:spacing w:line="276" w:lineRule="auto"/>
        <w:jc w:val="both"/>
        <w:rPr>
          <w:rFonts w:asciiTheme="minorHAnsi" w:hAnsiTheme="minorHAnsi"/>
          <w:sz w:val="22"/>
          <w:szCs w:val="22"/>
          <w:lang w:bidi="he-IL"/>
        </w:rPr>
      </w:pPr>
      <w:proofErr w:type="spellStart"/>
      <w:r w:rsidRPr="002F0628">
        <w:rPr>
          <w:rFonts w:asciiTheme="minorHAnsi" w:hAnsiTheme="minorHAnsi"/>
          <w:sz w:val="22"/>
          <w:szCs w:val="22"/>
        </w:rPr>
        <w:t>Aminadav</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D</w:t>
      </w:r>
      <w:r w:rsidRPr="002F0628">
        <w:rPr>
          <w:rFonts w:asciiTheme="minorHAnsi" w:hAnsiTheme="minorHAnsi"/>
          <w:sz w:val="22"/>
          <w:szCs w:val="22"/>
          <w:lang w:bidi="he-IL"/>
        </w:rPr>
        <w:t>yk</w:t>
      </w:r>
      <w:r w:rsidRPr="002F0628">
        <w:rPr>
          <w:rFonts w:asciiTheme="minorHAnsi" w:hAnsiTheme="minorHAnsi"/>
          <w:sz w:val="22"/>
          <w:szCs w:val="22"/>
        </w:rPr>
        <w:t>man</w:t>
      </w:r>
      <w:proofErr w:type="spellEnd"/>
      <w:r w:rsidRPr="002F0628">
        <w:rPr>
          <w:rFonts w:asciiTheme="minorHAnsi" w:hAnsiTheme="minorHAnsi"/>
          <w:sz w:val="22"/>
          <w:szCs w:val="22"/>
        </w:rPr>
        <w:t xml:space="preserve"> (Hebrew University)</w:t>
      </w:r>
    </w:p>
    <w:p w14:paraId="2444D2CC" w14:textId="30079EF6" w:rsidR="00500A79" w:rsidRPr="002F0628" w:rsidRDefault="00500A79" w:rsidP="00DD0D4A">
      <w:pPr>
        <w:spacing w:line="276" w:lineRule="auto"/>
        <w:jc w:val="both"/>
        <w:rPr>
          <w:rFonts w:asciiTheme="minorHAnsi" w:hAnsiTheme="minorHAnsi" w:cs="Arial"/>
          <w:color w:val="1A1A1A"/>
          <w:sz w:val="22"/>
          <w:szCs w:val="22"/>
          <w:lang w:bidi="he-IL"/>
        </w:rPr>
      </w:pPr>
      <w:r w:rsidRPr="002F0628">
        <w:rPr>
          <w:rFonts w:asciiTheme="minorHAnsi" w:hAnsiTheme="minorHAnsi" w:cs="Arial"/>
          <w:color w:val="1A1A1A"/>
          <w:sz w:val="22"/>
          <w:szCs w:val="22"/>
          <w:lang w:bidi="he-IL"/>
        </w:rPr>
        <w:t>adykman@mscc.huji.ac.il</w:t>
      </w:r>
    </w:p>
    <w:p w14:paraId="1AE77D36" w14:textId="49C84D28" w:rsidR="00500A79" w:rsidRPr="002F0628" w:rsidRDefault="00500A79" w:rsidP="00DD0D4A">
      <w:pPr>
        <w:spacing w:line="276" w:lineRule="auto"/>
        <w:jc w:val="both"/>
        <w:rPr>
          <w:rFonts w:asciiTheme="minorHAnsi" w:hAnsiTheme="minorHAnsi"/>
          <w:b/>
          <w:sz w:val="22"/>
          <w:szCs w:val="22"/>
        </w:rPr>
      </w:pPr>
      <w:r w:rsidRPr="002F0628">
        <w:rPr>
          <w:rFonts w:asciiTheme="minorHAnsi" w:hAnsiTheme="minorHAnsi"/>
          <w:b/>
          <w:sz w:val="22"/>
          <w:szCs w:val="22"/>
        </w:rPr>
        <w:t xml:space="preserve">The </w:t>
      </w:r>
      <w:r w:rsidRPr="002F0628">
        <w:rPr>
          <w:rFonts w:asciiTheme="minorHAnsi" w:hAnsiTheme="minorHAnsi"/>
          <w:b/>
          <w:i/>
          <w:sz w:val="22"/>
          <w:szCs w:val="22"/>
        </w:rPr>
        <w:t>Opus</w:t>
      </w:r>
      <w:r w:rsidRPr="002F0628">
        <w:rPr>
          <w:rFonts w:asciiTheme="minorHAnsi" w:hAnsiTheme="minorHAnsi"/>
          <w:b/>
          <w:sz w:val="22"/>
          <w:szCs w:val="22"/>
        </w:rPr>
        <w:t xml:space="preserve"> of </w:t>
      </w:r>
      <w:proofErr w:type="spellStart"/>
      <w:r w:rsidRPr="002F0628">
        <w:rPr>
          <w:rFonts w:asciiTheme="minorHAnsi" w:hAnsiTheme="minorHAnsi"/>
          <w:b/>
          <w:sz w:val="22"/>
          <w:szCs w:val="22"/>
        </w:rPr>
        <w:t>Aharon</w:t>
      </w:r>
      <w:proofErr w:type="spellEnd"/>
      <w:r w:rsidRPr="002F0628">
        <w:rPr>
          <w:rFonts w:asciiTheme="minorHAnsi" w:hAnsiTheme="minorHAnsi"/>
          <w:b/>
          <w:sz w:val="22"/>
          <w:szCs w:val="22"/>
        </w:rPr>
        <w:t xml:space="preserve"> </w:t>
      </w:r>
      <w:proofErr w:type="spellStart"/>
      <w:r w:rsidRPr="002F0628">
        <w:rPr>
          <w:rFonts w:asciiTheme="minorHAnsi" w:hAnsiTheme="minorHAnsi"/>
          <w:b/>
          <w:sz w:val="22"/>
          <w:szCs w:val="22"/>
        </w:rPr>
        <w:t>Shabbtai</w:t>
      </w:r>
      <w:proofErr w:type="spellEnd"/>
      <w:r w:rsidRPr="002F0628">
        <w:rPr>
          <w:rFonts w:asciiTheme="minorHAnsi" w:hAnsiTheme="minorHAnsi"/>
          <w:b/>
          <w:sz w:val="22"/>
          <w:szCs w:val="22"/>
        </w:rPr>
        <w:t>: an Appreciation</w:t>
      </w:r>
    </w:p>
    <w:p w14:paraId="3DBB32BF" w14:textId="77777777" w:rsidR="00500A79" w:rsidRPr="002F0628" w:rsidRDefault="00500A79" w:rsidP="00DD0D4A">
      <w:pPr>
        <w:spacing w:line="276" w:lineRule="auto"/>
        <w:jc w:val="both"/>
        <w:rPr>
          <w:rFonts w:asciiTheme="minorHAnsi" w:hAnsiTheme="minorHAnsi"/>
          <w:sz w:val="22"/>
          <w:szCs w:val="22"/>
        </w:rPr>
      </w:pPr>
    </w:p>
    <w:p w14:paraId="519690B8" w14:textId="77777777" w:rsidR="00500A79" w:rsidRPr="002F0628" w:rsidRDefault="00500A79" w:rsidP="00DD0D4A">
      <w:pPr>
        <w:spacing w:line="276" w:lineRule="auto"/>
        <w:jc w:val="both"/>
        <w:rPr>
          <w:rFonts w:asciiTheme="minorHAnsi" w:hAnsiTheme="minorHAnsi"/>
          <w:sz w:val="22"/>
          <w:szCs w:val="22"/>
          <w:lang w:bidi="he-IL"/>
        </w:rPr>
      </w:pPr>
      <w:proofErr w:type="spellStart"/>
      <w:r w:rsidRPr="002F0628">
        <w:rPr>
          <w:rFonts w:asciiTheme="minorHAnsi" w:hAnsiTheme="minorHAnsi"/>
          <w:sz w:val="22"/>
          <w:szCs w:val="22"/>
        </w:rPr>
        <w:t>Nurit</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Yaari</w:t>
      </w:r>
      <w:proofErr w:type="spellEnd"/>
      <w:r w:rsidRPr="002F0628">
        <w:rPr>
          <w:rFonts w:asciiTheme="minorHAnsi" w:hAnsiTheme="minorHAnsi"/>
          <w:sz w:val="22"/>
          <w:szCs w:val="22"/>
        </w:rPr>
        <w:t xml:space="preserve"> (Tel Aviv University)</w:t>
      </w:r>
    </w:p>
    <w:p w14:paraId="01356497" w14:textId="77777777" w:rsidR="00500A79" w:rsidRPr="002F0628" w:rsidRDefault="00500A79" w:rsidP="00DD0D4A">
      <w:pPr>
        <w:spacing w:line="276" w:lineRule="auto"/>
        <w:jc w:val="both"/>
        <w:rPr>
          <w:rFonts w:asciiTheme="minorHAnsi" w:hAnsiTheme="minorHAnsi"/>
          <w:sz w:val="22"/>
          <w:szCs w:val="22"/>
          <w:lang w:bidi="he-IL"/>
        </w:rPr>
      </w:pPr>
      <w:proofErr w:type="spellStart"/>
      <w:r w:rsidRPr="002F0628">
        <w:rPr>
          <w:rFonts w:asciiTheme="minorHAnsi" w:hAnsiTheme="minorHAnsi"/>
          <w:sz w:val="22"/>
          <w:szCs w:val="22"/>
          <w:lang w:bidi="he-IL"/>
        </w:rPr>
        <w:t>yaari@post.tau.ac.i</w:t>
      </w:r>
      <w:proofErr w:type="spellEnd"/>
    </w:p>
    <w:p w14:paraId="183AB9B0" w14:textId="77777777" w:rsidR="00500A79" w:rsidRPr="002F0628" w:rsidRDefault="0050247A" w:rsidP="00DD0D4A">
      <w:pPr>
        <w:spacing w:line="276" w:lineRule="auto"/>
        <w:jc w:val="both"/>
        <w:rPr>
          <w:rFonts w:asciiTheme="minorHAnsi" w:hAnsiTheme="minorHAnsi"/>
          <w:b/>
          <w:sz w:val="22"/>
          <w:szCs w:val="22"/>
        </w:rPr>
      </w:pPr>
      <w:dir w:val="ltr">
        <w:r w:rsidR="00500A79" w:rsidRPr="002F0628">
          <w:rPr>
            <w:rFonts w:asciiTheme="minorHAnsi" w:hAnsiTheme="minorHAnsi"/>
            <w:b/>
            <w:sz w:val="22"/>
            <w:szCs w:val="22"/>
          </w:rPr>
          <w:t xml:space="preserve">From Page to Stage:  </w:t>
        </w:r>
        <w:proofErr w:type="spellStart"/>
        <w:r w:rsidR="00500A79" w:rsidRPr="002F0628">
          <w:rPr>
            <w:rFonts w:asciiTheme="minorHAnsi" w:hAnsiTheme="minorHAnsi"/>
            <w:b/>
            <w:sz w:val="22"/>
            <w:szCs w:val="22"/>
          </w:rPr>
          <w:t>Shabtai's</w:t>
        </w:r>
        <w:proofErr w:type="spellEnd"/>
        <w:r w:rsidR="00500A79" w:rsidRPr="002F0628">
          <w:rPr>
            <w:rFonts w:asciiTheme="minorHAnsi" w:hAnsiTheme="minorHAnsi"/>
            <w:b/>
            <w:sz w:val="22"/>
            <w:szCs w:val="22"/>
          </w:rPr>
          <w:t xml:space="preserve"> translations and the Hebrew-Israeli theatre</w:t>
        </w:r>
        <w:r w:rsidR="00500A79" w:rsidRPr="002F0628">
          <w:rPr>
            <w:rFonts w:asciiTheme="minorHAnsi" w:hAnsiTheme="minorHAnsi"/>
            <w:b/>
            <w:sz w:val="22"/>
            <w:szCs w:val="22"/>
          </w:rPr>
          <w:t>‬</w:t>
        </w:r>
        <w:r w:rsidR="00DC737B">
          <w:t>‬</w:t>
        </w:r>
        <w:r w:rsidR="004862D3">
          <w:t>‬</w:t>
        </w:r>
        <w:r w:rsidR="002615AF">
          <w:t>‬</w:t>
        </w:r>
        <w:r>
          <w:t>‬</w:t>
        </w:r>
      </w:dir>
    </w:p>
    <w:p w14:paraId="2FD059A7" w14:textId="77777777" w:rsidR="00500A79" w:rsidRPr="002F0628" w:rsidRDefault="00500A79" w:rsidP="00DD0D4A">
      <w:pPr>
        <w:spacing w:line="276" w:lineRule="auto"/>
        <w:jc w:val="both"/>
        <w:rPr>
          <w:rFonts w:asciiTheme="minorHAnsi" w:hAnsiTheme="minorHAnsi"/>
          <w:sz w:val="22"/>
          <w:szCs w:val="22"/>
        </w:rPr>
      </w:pPr>
    </w:p>
    <w:p w14:paraId="670C1AE8" w14:textId="77777777" w:rsidR="00500A79" w:rsidRPr="002F0628" w:rsidRDefault="00500A79" w:rsidP="00DD0D4A">
      <w:pPr>
        <w:spacing w:line="276" w:lineRule="auto"/>
        <w:jc w:val="both"/>
        <w:rPr>
          <w:rFonts w:asciiTheme="minorHAnsi" w:hAnsiTheme="minorHAnsi"/>
          <w:sz w:val="22"/>
          <w:szCs w:val="22"/>
          <w:lang w:bidi="he-IL"/>
        </w:rPr>
      </w:pPr>
      <w:proofErr w:type="spellStart"/>
      <w:r w:rsidRPr="002F0628">
        <w:rPr>
          <w:rFonts w:asciiTheme="minorHAnsi" w:hAnsiTheme="minorHAnsi"/>
          <w:sz w:val="22"/>
          <w:szCs w:val="22"/>
        </w:rPr>
        <w:t>Aharon</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Shabtai</w:t>
      </w:r>
      <w:proofErr w:type="spellEnd"/>
      <w:r w:rsidRPr="002F0628">
        <w:rPr>
          <w:rFonts w:asciiTheme="minorHAnsi" w:hAnsiTheme="minorHAnsi"/>
          <w:sz w:val="22"/>
          <w:szCs w:val="22"/>
        </w:rPr>
        <w:t>, poet and translator</w:t>
      </w:r>
    </w:p>
    <w:p w14:paraId="5B448597" w14:textId="77777777" w:rsidR="00500A79" w:rsidRPr="002F0628" w:rsidRDefault="0050247A" w:rsidP="00DD0D4A">
      <w:pPr>
        <w:spacing w:line="276" w:lineRule="auto"/>
        <w:jc w:val="both"/>
        <w:rPr>
          <w:rFonts w:asciiTheme="minorHAnsi" w:hAnsiTheme="minorHAnsi" w:cs="Arial"/>
          <w:color w:val="1A1A1A"/>
          <w:sz w:val="22"/>
          <w:szCs w:val="22"/>
          <w:lang w:bidi="he-IL"/>
        </w:rPr>
      </w:pPr>
      <w:dir w:val="ltr">
        <w:proofErr w:type="gramStart"/>
        <w:r w:rsidR="00500A79" w:rsidRPr="002F0628">
          <w:rPr>
            <w:rFonts w:asciiTheme="minorHAnsi" w:hAnsiTheme="minorHAnsi" w:cs="Arial"/>
            <w:color w:val="1A1A1A"/>
            <w:sz w:val="22"/>
            <w:szCs w:val="22"/>
            <w:lang w:bidi="he-IL"/>
          </w:rPr>
          <w:t>a</w:t>
        </w:r>
        <w:proofErr w:type="gramEnd"/>
        <w:r w:rsidR="00500A79" w:rsidRPr="002F0628">
          <w:rPr>
            <w:rFonts w:asciiTheme="minorHAnsi" w:hAnsiTheme="minorHAnsi" w:cs="Arial"/>
            <w:color w:val="1A1A1A"/>
            <w:sz w:val="22"/>
            <w:szCs w:val="22"/>
            <w:lang w:bidi="he-IL"/>
          </w:rPr>
          <w:t>.shabtai@gmail.com</w:t>
        </w:r>
        <w:r w:rsidR="00500A79" w:rsidRPr="002F0628">
          <w:rPr>
            <w:rFonts w:asciiTheme="minorHAnsi" w:hAnsiTheme="minorHAnsi" w:cs="Arial"/>
            <w:color w:val="1A1A1A"/>
            <w:sz w:val="22"/>
            <w:szCs w:val="22"/>
            <w:lang w:bidi="he-IL"/>
          </w:rPr>
          <w:t>‬‏</w:t>
        </w:r>
        <w:r w:rsidR="00DC737B">
          <w:t>‬</w:t>
        </w:r>
        <w:r w:rsidR="004862D3">
          <w:t>‬</w:t>
        </w:r>
        <w:r w:rsidR="002615AF">
          <w:t>‬</w:t>
        </w:r>
        <w:r>
          <w:t>‬</w:t>
        </w:r>
      </w:dir>
    </w:p>
    <w:p w14:paraId="0335C3B1" w14:textId="56711BCF" w:rsidR="00500A79" w:rsidRPr="002F0628" w:rsidRDefault="00500A79"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
          <w:sz w:val="22"/>
          <w:szCs w:val="22"/>
        </w:rPr>
      </w:pPr>
      <w:r w:rsidRPr="002F0628">
        <w:rPr>
          <w:rFonts w:asciiTheme="minorHAnsi" w:hAnsiTheme="minorHAnsi" w:cs="Arial"/>
          <w:b/>
          <w:color w:val="1A1A1A"/>
          <w:sz w:val="22"/>
          <w:szCs w:val="22"/>
        </w:rPr>
        <w:t>Updating in Hebrew tran</w:t>
      </w:r>
      <w:r w:rsidRPr="002F0628">
        <w:rPr>
          <w:rFonts w:asciiTheme="minorHAnsi" w:hAnsiTheme="minorHAnsi" w:cs="Times New Roman"/>
          <w:b/>
          <w:color w:val="1A1A1A"/>
          <w:sz w:val="22"/>
          <w:szCs w:val="22"/>
          <w:lang w:bidi="he-IL"/>
        </w:rPr>
        <w:t>s</w:t>
      </w:r>
      <w:r w:rsidRPr="002F0628">
        <w:rPr>
          <w:rFonts w:asciiTheme="minorHAnsi" w:hAnsiTheme="minorHAnsi" w:cs="Arial"/>
          <w:b/>
          <w:color w:val="1A1A1A"/>
          <w:sz w:val="22"/>
          <w:szCs w:val="22"/>
        </w:rPr>
        <w:t>lations of Greek Poetry</w:t>
      </w:r>
    </w:p>
    <w:p w14:paraId="024C4668" w14:textId="77777777" w:rsidR="008D4A64" w:rsidRPr="002F0628"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lang w:bidi="he-IL"/>
        </w:rPr>
      </w:pPr>
    </w:p>
    <w:p w14:paraId="5F8E204B" w14:textId="77777777" w:rsidR="00247FF3" w:rsidRPr="002F0628" w:rsidRDefault="00247FF3"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lang w:bidi="he-IL"/>
        </w:rPr>
      </w:pPr>
    </w:p>
    <w:p w14:paraId="0457A796" w14:textId="77777777" w:rsidR="00247FF3" w:rsidRPr="002F0628" w:rsidRDefault="00247FF3" w:rsidP="00DD0D4A">
      <w:pPr>
        <w:spacing w:line="276" w:lineRule="auto"/>
        <w:jc w:val="both"/>
        <w:rPr>
          <w:rFonts w:asciiTheme="minorHAnsi" w:hAnsiTheme="minorHAnsi"/>
          <w:b/>
          <w:bCs/>
          <w:sz w:val="22"/>
          <w:szCs w:val="22"/>
          <w:lang w:val="nl-NL"/>
        </w:rPr>
      </w:pPr>
      <w:r w:rsidRPr="002F0628">
        <w:rPr>
          <w:rFonts w:asciiTheme="minorHAnsi" w:hAnsiTheme="minorHAnsi"/>
          <w:b/>
          <w:bCs/>
          <w:sz w:val="22"/>
          <w:szCs w:val="22"/>
          <w:lang w:val="nl-NL"/>
        </w:rPr>
        <w:t>THURSDAY 29 May</w:t>
      </w:r>
    </w:p>
    <w:p w14:paraId="31C4E376" w14:textId="77777777" w:rsidR="00247FF3" w:rsidRPr="002F0628" w:rsidRDefault="00247FF3" w:rsidP="00DD0D4A">
      <w:pPr>
        <w:spacing w:line="276" w:lineRule="auto"/>
        <w:jc w:val="both"/>
        <w:rPr>
          <w:rFonts w:asciiTheme="minorHAnsi" w:hAnsiTheme="minorHAnsi"/>
          <w:sz w:val="22"/>
          <w:szCs w:val="22"/>
          <w:lang w:val="nl-NL"/>
        </w:rPr>
      </w:pPr>
    </w:p>
    <w:p w14:paraId="6956E1A8" w14:textId="77777777" w:rsidR="00247FF3" w:rsidRPr="002F0628" w:rsidRDefault="00247FF3" w:rsidP="00DD0D4A">
      <w:pPr>
        <w:spacing w:line="276" w:lineRule="auto"/>
        <w:jc w:val="both"/>
        <w:rPr>
          <w:rFonts w:asciiTheme="minorHAnsi" w:hAnsiTheme="minorHAnsi"/>
          <w:sz w:val="22"/>
          <w:szCs w:val="22"/>
          <w:lang w:val="nl-NL"/>
        </w:rPr>
      </w:pPr>
      <w:r w:rsidRPr="002F0628">
        <w:rPr>
          <w:rFonts w:asciiTheme="minorHAnsi" w:hAnsiTheme="minorHAnsi"/>
          <w:sz w:val="22"/>
          <w:szCs w:val="22"/>
          <w:lang w:val="nl-NL"/>
        </w:rPr>
        <w:t>SESSION SIX (HEBREW) 9:30-11:00</w:t>
      </w:r>
    </w:p>
    <w:p w14:paraId="451BE849" w14:textId="77777777" w:rsidR="00247FF3" w:rsidRPr="002F0628" w:rsidRDefault="00247FF3" w:rsidP="00DD0D4A">
      <w:pPr>
        <w:spacing w:line="276" w:lineRule="auto"/>
        <w:jc w:val="both"/>
        <w:rPr>
          <w:rFonts w:asciiTheme="minorHAnsi" w:hAnsiTheme="minorHAnsi"/>
          <w:sz w:val="22"/>
          <w:szCs w:val="22"/>
          <w:lang w:val="nl-NL"/>
        </w:rPr>
      </w:pPr>
      <w:r w:rsidRPr="002F0628">
        <w:rPr>
          <w:rFonts w:asciiTheme="minorHAnsi" w:hAnsiTheme="minorHAnsi"/>
          <w:sz w:val="22"/>
          <w:szCs w:val="22"/>
          <w:lang w:val="nl-NL"/>
        </w:rPr>
        <w:t xml:space="preserve">Chair: Miriam Ben </w:t>
      </w:r>
      <w:proofErr w:type="spellStart"/>
      <w:r w:rsidRPr="002F0628">
        <w:rPr>
          <w:rFonts w:asciiTheme="minorHAnsi" w:hAnsiTheme="minorHAnsi"/>
          <w:sz w:val="22"/>
          <w:szCs w:val="22"/>
          <w:lang w:val="nl-NL"/>
        </w:rPr>
        <w:t>Zeev</w:t>
      </w:r>
      <w:proofErr w:type="spellEnd"/>
      <w:r w:rsidRPr="002F0628">
        <w:rPr>
          <w:rFonts w:asciiTheme="minorHAnsi" w:hAnsiTheme="minorHAnsi"/>
          <w:sz w:val="22"/>
          <w:szCs w:val="22"/>
          <w:lang w:val="nl-NL"/>
        </w:rPr>
        <w:t xml:space="preserve"> (Ben </w:t>
      </w:r>
      <w:proofErr w:type="spellStart"/>
      <w:r w:rsidRPr="002F0628">
        <w:rPr>
          <w:rFonts w:asciiTheme="minorHAnsi" w:hAnsiTheme="minorHAnsi"/>
          <w:sz w:val="22"/>
          <w:szCs w:val="22"/>
          <w:lang w:val="nl-NL"/>
        </w:rPr>
        <w:t>Gurion</w:t>
      </w:r>
      <w:proofErr w:type="spellEnd"/>
      <w:r w:rsidRPr="002F0628">
        <w:rPr>
          <w:rFonts w:asciiTheme="minorHAnsi" w:hAnsiTheme="minorHAnsi"/>
          <w:sz w:val="22"/>
          <w:szCs w:val="22"/>
          <w:lang w:val="nl-NL"/>
        </w:rPr>
        <w:t xml:space="preserve"> University)</w:t>
      </w:r>
    </w:p>
    <w:p w14:paraId="5AAB14D4" w14:textId="77777777" w:rsidR="00247FF3" w:rsidRPr="002F0628" w:rsidRDefault="00247FF3" w:rsidP="00DD0D4A">
      <w:pPr>
        <w:spacing w:line="276" w:lineRule="auto"/>
        <w:jc w:val="both"/>
        <w:rPr>
          <w:rFonts w:asciiTheme="minorHAnsi" w:hAnsiTheme="minorHAnsi"/>
          <w:sz w:val="22"/>
          <w:szCs w:val="22"/>
          <w:lang w:val="nl-NL"/>
        </w:rPr>
      </w:pPr>
    </w:p>
    <w:p w14:paraId="704B00D3" w14:textId="77777777" w:rsidR="00247FF3" w:rsidRPr="002F0628" w:rsidRDefault="00247FF3"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Moshe </w:t>
      </w:r>
      <w:proofErr w:type="spellStart"/>
      <w:r w:rsidRPr="002F0628">
        <w:rPr>
          <w:rFonts w:asciiTheme="minorHAnsi" w:hAnsiTheme="minorHAnsi"/>
          <w:sz w:val="22"/>
          <w:szCs w:val="22"/>
        </w:rPr>
        <w:t>Blidstein</w:t>
      </w:r>
      <w:proofErr w:type="spellEnd"/>
      <w:r w:rsidRPr="002F0628">
        <w:rPr>
          <w:rFonts w:asciiTheme="minorHAnsi" w:hAnsiTheme="minorHAnsi"/>
          <w:sz w:val="22"/>
          <w:szCs w:val="22"/>
        </w:rPr>
        <w:t xml:space="preserve"> (Ben </w:t>
      </w:r>
      <w:proofErr w:type="spellStart"/>
      <w:r w:rsidRPr="002F0628">
        <w:rPr>
          <w:rFonts w:asciiTheme="minorHAnsi" w:hAnsiTheme="minorHAnsi"/>
          <w:sz w:val="22"/>
          <w:szCs w:val="22"/>
        </w:rPr>
        <w:t>Gurion</w:t>
      </w:r>
      <w:proofErr w:type="spellEnd"/>
      <w:r w:rsidRPr="002F0628">
        <w:rPr>
          <w:rFonts w:asciiTheme="minorHAnsi" w:hAnsiTheme="minorHAnsi"/>
          <w:sz w:val="22"/>
          <w:szCs w:val="22"/>
        </w:rPr>
        <w:t xml:space="preserve"> University)</w:t>
      </w:r>
    </w:p>
    <w:p w14:paraId="57B4FF53" w14:textId="77777777" w:rsidR="00B60261" w:rsidRDefault="00247FF3" w:rsidP="00B602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b/>
          <w:color w:val="000000"/>
          <w:sz w:val="22"/>
          <w:szCs w:val="22"/>
          <w:u w:color="000000"/>
        </w:rPr>
      </w:pPr>
      <w:r w:rsidRPr="002F0628">
        <w:rPr>
          <w:rFonts w:asciiTheme="minorHAnsi" w:eastAsia="Times New Roman" w:hAnsiTheme="minorHAnsi" w:cs="Times New Roman"/>
          <w:b/>
          <w:color w:val="000000"/>
          <w:sz w:val="22"/>
          <w:szCs w:val="22"/>
          <w:u w:color="000000"/>
        </w:rPr>
        <w:t xml:space="preserve">Behind the </w:t>
      </w:r>
      <w:r w:rsidR="00B60261">
        <w:rPr>
          <w:rFonts w:asciiTheme="minorHAnsi" w:eastAsia="Times New Roman" w:hAnsiTheme="minorHAnsi" w:cs="Times New Roman"/>
          <w:b/>
          <w:color w:val="000000"/>
          <w:sz w:val="22"/>
          <w:szCs w:val="22"/>
          <w:u w:color="000000"/>
        </w:rPr>
        <w:t>T</w:t>
      </w:r>
      <w:r w:rsidRPr="002F0628">
        <w:rPr>
          <w:rFonts w:asciiTheme="minorHAnsi" w:eastAsia="Times New Roman" w:hAnsiTheme="minorHAnsi" w:cs="Times New Roman"/>
          <w:b/>
          <w:color w:val="000000"/>
          <w:sz w:val="22"/>
          <w:szCs w:val="22"/>
          <w:u w:color="000000"/>
        </w:rPr>
        <w:t xml:space="preserve">emple: the </w:t>
      </w:r>
      <w:r w:rsidR="00B60261">
        <w:rPr>
          <w:rFonts w:asciiTheme="minorHAnsi" w:eastAsia="Times New Roman" w:hAnsiTheme="minorHAnsi" w:cs="Times New Roman"/>
          <w:b/>
          <w:color w:val="000000"/>
          <w:sz w:val="22"/>
          <w:szCs w:val="22"/>
          <w:u w:color="000000"/>
        </w:rPr>
        <w:t>F</w:t>
      </w:r>
      <w:r w:rsidRPr="002F0628">
        <w:rPr>
          <w:rFonts w:asciiTheme="minorHAnsi" w:eastAsia="Times New Roman" w:hAnsiTheme="minorHAnsi" w:cs="Times New Roman"/>
          <w:b/>
          <w:color w:val="000000"/>
          <w:sz w:val="22"/>
          <w:szCs w:val="22"/>
          <w:u w:color="000000"/>
        </w:rPr>
        <w:t xml:space="preserve">orm and </w:t>
      </w:r>
      <w:r w:rsidR="00B60261">
        <w:rPr>
          <w:rFonts w:asciiTheme="minorHAnsi" w:eastAsia="Times New Roman" w:hAnsiTheme="minorHAnsi" w:cs="Times New Roman"/>
          <w:b/>
          <w:color w:val="000000"/>
          <w:sz w:val="22"/>
          <w:szCs w:val="22"/>
          <w:u w:color="000000"/>
        </w:rPr>
        <w:t>F</w:t>
      </w:r>
      <w:r w:rsidRPr="002F0628">
        <w:rPr>
          <w:rFonts w:asciiTheme="minorHAnsi" w:eastAsia="Times New Roman" w:hAnsiTheme="minorHAnsi" w:cs="Times New Roman"/>
          <w:b/>
          <w:color w:val="000000"/>
          <w:sz w:val="22"/>
          <w:szCs w:val="22"/>
          <w:u w:color="000000"/>
        </w:rPr>
        <w:t xml:space="preserve">unction of </w:t>
      </w:r>
      <w:r w:rsidR="00B60261">
        <w:rPr>
          <w:rFonts w:asciiTheme="minorHAnsi" w:eastAsia="Times New Roman" w:hAnsiTheme="minorHAnsi" w:cs="Times New Roman"/>
          <w:b/>
          <w:color w:val="000000"/>
          <w:sz w:val="22"/>
          <w:szCs w:val="22"/>
          <w:u w:color="000000"/>
        </w:rPr>
        <w:t>B</w:t>
      </w:r>
      <w:r w:rsidRPr="002F0628">
        <w:rPr>
          <w:rFonts w:asciiTheme="minorHAnsi" w:eastAsia="Times New Roman" w:hAnsiTheme="minorHAnsi" w:cs="Times New Roman"/>
          <w:b/>
          <w:color w:val="000000"/>
          <w:sz w:val="22"/>
          <w:szCs w:val="22"/>
          <w:u w:color="000000"/>
        </w:rPr>
        <w:t xml:space="preserve">ack </w:t>
      </w:r>
      <w:r w:rsidR="00B60261">
        <w:rPr>
          <w:rFonts w:asciiTheme="minorHAnsi" w:eastAsia="Times New Roman" w:hAnsiTheme="minorHAnsi" w:cs="Times New Roman"/>
          <w:b/>
          <w:color w:val="000000"/>
          <w:sz w:val="22"/>
          <w:szCs w:val="22"/>
          <w:u w:color="000000"/>
        </w:rPr>
        <w:t>R</w:t>
      </w:r>
      <w:r w:rsidRPr="002F0628">
        <w:rPr>
          <w:rFonts w:asciiTheme="minorHAnsi" w:eastAsia="Times New Roman" w:hAnsiTheme="minorHAnsi" w:cs="Times New Roman"/>
          <w:b/>
          <w:color w:val="000000"/>
          <w:sz w:val="22"/>
          <w:szCs w:val="22"/>
          <w:u w:color="000000"/>
        </w:rPr>
        <w:t xml:space="preserve">ooms in </w:t>
      </w:r>
      <w:r w:rsidR="00B60261">
        <w:rPr>
          <w:rFonts w:asciiTheme="minorHAnsi" w:eastAsia="Times New Roman" w:hAnsiTheme="minorHAnsi" w:cs="Times New Roman"/>
          <w:b/>
          <w:color w:val="000000"/>
          <w:sz w:val="22"/>
          <w:szCs w:val="22"/>
          <w:u w:color="000000"/>
        </w:rPr>
        <w:t>A</w:t>
      </w:r>
      <w:r w:rsidRPr="002F0628">
        <w:rPr>
          <w:rFonts w:asciiTheme="minorHAnsi" w:eastAsia="Times New Roman" w:hAnsiTheme="minorHAnsi" w:cs="Times New Roman"/>
          <w:b/>
          <w:color w:val="000000"/>
          <w:sz w:val="22"/>
          <w:szCs w:val="22"/>
          <w:u w:color="000000"/>
        </w:rPr>
        <w:t xml:space="preserve">ncient </w:t>
      </w:r>
      <w:r w:rsidR="00B60261">
        <w:rPr>
          <w:rFonts w:asciiTheme="minorHAnsi" w:eastAsia="Times New Roman" w:hAnsiTheme="minorHAnsi" w:cs="Times New Roman"/>
          <w:b/>
          <w:color w:val="000000"/>
          <w:sz w:val="22"/>
          <w:szCs w:val="22"/>
          <w:u w:color="000000"/>
        </w:rPr>
        <w:t>S</w:t>
      </w:r>
      <w:r w:rsidRPr="002F0628">
        <w:rPr>
          <w:rFonts w:asciiTheme="minorHAnsi" w:eastAsia="Times New Roman" w:hAnsiTheme="minorHAnsi" w:cs="Times New Roman"/>
          <w:b/>
          <w:color w:val="000000"/>
          <w:sz w:val="22"/>
          <w:szCs w:val="22"/>
          <w:u w:color="000000"/>
        </w:rPr>
        <w:t>anctuaries</w:t>
      </w:r>
      <w:r w:rsidR="00B60261">
        <w:rPr>
          <w:rFonts w:asciiTheme="minorHAnsi" w:eastAsia="Times New Roman" w:hAnsiTheme="minorHAnsi" w:cs="Times New Roman"/>
          <w:b/>
          <w:color w:val="000000"/>
          <w:sz w:val="22"/>
          <w:szCs w:val="22"/>
          <w:u w:color="000000"/>
        </w:rPr>
        <w:t xml:space="preserve">  </w:t>
      </w:r>
    </w:p>
    <w:p w14:paraId="25C2E4AB" w14:textId="55B40917" w:rsidR="00B62CE7" w:rsidRPr="002F0628" w:rsidRDefault="00B62CE7" w:rsidP="00B602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Palatino" w:hAnsiTheme="minorHAnsi" w:cs="Palatino"/>
          <w:color w:val="000000"/>
          <w:sz w:val="22"/>
          <w:szCs w:val="22"/>
          <w:rtl/>
        </w:rPr>
      </w:pPr>
      <w:proofErr w:type="gramStart"/>
      <w:r w:rsidRPr="002F0628">
        <w:rPr>
          <w:rFonts w:asciiTheme="minorHAnsi" w:hAnsiTheme="minorHAnsi"/>
          <w:color w:val="000000"/>
          <w:sz w:val="22"/>
          <w:szCs w:val="22"/>
        </w:rPr>
        <w:t>moshe.blidstein@univ.ox.ac.uk</w:t>
      </w:r>
      <w:proofErr w:type="gramEnd"/>
    </w:p>
    <w:p w14:paraId="453C74E1" w14:textId="77777777" w:rsidR="00B62CE7" w:rsidRPr="002F0628" w:rsidRDefault="00B62CE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3B5CC816" w14:textId="77777777" w:rsidR="00B62CE7" w:rsidRPr="002F0628" w:rsidRDefault="00B62CE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Ancient temples – whether Greek, Roman, Egyptian, Israelite, or of other cultures – typically operated around spatial axes or foci of sacredness, defined by cult statues, altars, sacred ways or paths and the structures, walls or fences around them. One typical arrangement (well-known from Egyptian temples and the Jerusalem temple) is a direct, ascending axis, going from courtyards to the ‘holy’ to the ‘holy of holies’; Greek and Roman temples had different arrangements, but here too we find a </w:t>
      </w:r>
      <w:proofErr w:type="spellStart"/>
      <w:r w:rsidRPr="002F0628">
        <w:rPr>
          <w:rFonts w:asciiTheme="minorHAnsi" w:hAnsiTheme="minorHAnsi"/>
          <w:color w:val="000000"/>
          <w:sz w:val="22"/>
          <w:szCs w:val="22"/>
        </w:rPr>
        <w:t>pronaos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cella</w:t>
      </w:r>
      <w:proofErr w:type="spellEnd"/>
      <w:r w:rsidRPr="002F0628">
        <w:rPr>
          <w:rFonts w:asciiTheme="minorHAnsi" w:hAnsiTheme="minorHAnsi"/>
          <w:color w:val="000000"/>
          <w:sz w:val="22"/>
          <w:szCs w:val="22"/>
        </w:rPr>
        <w:t>/</w:t>
      </w:r>
      <w:proofErr w:type="spellStart"/>
      <w:r w:rsidRPr="002F0628">
        <w:rPr>
          <w:rFonts w:asciiTheme="minorHAnsi" w:hAnsiTheme="minorHAnsi"/>
          <w:color w:val="000000"/>
          <w:sz w:val="22"/>
          <w:szCs w:val="22"/>
        </w:rPr>
        <w:t>naos</w:t>
      </w:r>
      <w:proofErr w:type="spellEnd"/>
      <w:r w:rsidRPr="002F0628">
        <w:rPr>
          <w:rFonts w:asciiTheme="minorHAnsi" w:hAnsiTheme="minorHAnsi"/>
          <w:color w:val="000000"/>
          <w:sz w:val="22"/>
          <w:szCs w:val="22"/>
        </w:rPr>
        <w:t xml:space="preserve"> and </w:t>
      </w:r>
      <w:proofErr w:type="spellStart"/>
      <w:r w:rsidRPr="002F0628">
        <w:rPr>
          <w:rFonts w:asciiTheme="minorHAnsi" w:hAnsiTheme="minorHAnsi"/>
          <w:color w:val="000000"/>
          <w:sz w:val="22"/>
          <w:szCs w:val="22"/>
        </w:rPr>
        <w:t>adyton</w:t>
      </w:r>
      <w:proofErr w:type="spellEnd"/>
      <w:r w:rsidRPr="002F0628">
        <w:rPr>
          <w:rFonts w:asciiTheme="minorHAnsi" w:hAnsiTheme="minorHAnsi"/>
          <w:color w:val="000000"/>
          <w:sz w:val="22"/>
          <w:szCs w:val="22"/>
        </w:rPr>
        <w:t>. However, relatively little attention is paid to the back rooms and to areas directly behind the ‘holy of holies’/</w:t>
      </w:r>
      <w:proofErr w:type="spellStart"/>
      <w:r w:rsidRPr="002F0628">
        <w:rPr>
          <w:rFonts w:asciiTheme="minorHAnsi" w:hAnsiTheme="minorHAnsi"/>
          <w:color w:val="000000"/>
          <w:sz w:val="22"/>
          <w:szCs w:val="22"/>
        </w:rPr>
        <w:t>adyton</w:t>
      </w:r>
      <w:proofErr w:type="spellEnd"/>
      <w:r w:rsidRPr="002F0628">
        <w:rPr>
          <w:rFonts w:asciiTheme="minorHAnsi" w:hAnsiTheme="minorHAnsi"/>
          <w:color w:val="000000"/>
          <w:sz w:val="22"/>
          <w:szCs w:val="22"/>
        </w:rPr>
        <w:t xml:space="preserve"> (sometimes known as </w:t>
      </w:r>
      <w:proofErr w:type="spellStart"/>
      <w:r w:rsidRPr="002F0628">
        <w:rPr>
          <w:rFonts w:asciiTheme="minorHAnsi" w:hAnsiTheme="minorHAnsi"/>
          <w:color w:val="000000"/>
          <w:sz w:val="22"/>
          <w:szCs w:val="22"/>
        </w:rPr>
        <w:t>opisthodomos</w:t>
      </w:r>
      <w:proofErr w:type="spellEnd"/>
      <w:r w:rsidRPr="002F0628">
        <w:rPr>
          <w:rFonts w:asciiTheme="minorHAnsi" w:hAnsiTheme="minorHAnsi"/>
          <w:color w:val="000000"/>
          <w:sz w:val="22"/>
          <w:szCs w:val="22"/>
        </w:rPr>
        <w:t xml:space="preserve"> in Greek temples). If in fact there is a “sacred axis” to the temple, what happens in the ambiguous </w:t>
      </w:r>
      <w:proofErr w:type="gramStart"/>
      <w:r w:rsidRPr="002F0628">
        <w:rPr>
          <w:rFonts w:asciiTheme="minorHAnsi" w:hAnsiTheme="minorHAnsi"/>
          <w:color w:val="000000"/>
          <w:sz w:val="22"/>
          <w:szCs w:val="22"/>
        </w:rPr>
        <w:t>spaces which</w:t>
      </w:r>
      <w:proofErr w:type="gramEnd"/>
      <w:r w:rsidRPr="002F0628">
        <w:rPr>
          <w:rFonts w:asciiTheme="minorHAnsi" w:hAnsiTheme="minorHAnsi"/>
          <w:color w:val="000000"/>
          <w:sz w:val="22"/>
          <w:szCs w:val="22"/>
        </w:rPr>
        <w:t xml:space="preserve"> are just beyond </w:t>
      </w:r>
      <w:r w:rsidRPr="002F0628">
        <w:rPr>
          <w:rFonts w:asciiTheme="minorHAnsi" w:hAnsiTheme="minorHAnsi"/>
          <w:color w:val="000000"/>
          <w:sz w:val="22"/>
          <w:szCs w:val="22"/>
        </w:rPr>
        <w:lastRenderedPageBreak/>
        <w:t>it – but yet inside the temple precincts? Who was allowed into these spaces? What was done there? How did they fit into the general structure and function of the temple?</w:t>
      </w:r>
    </w:p>
    <w:p w14:paraId="6B288010" w14:textId="7174C07E" w:rsidR="00B62CE7" w:rsidRPr="002F0628" w:rsidRDefault="00B62CE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r w:rsidRPr="002F0628">
        <w:rPr>
          <w:rFonts w:asciiTheme="minorHAnsi" w:hAnsiTheme="minorHAnsi"/>
          <w:color w:val="000000"/>
          <w:sz w:val="22"/>
          <w:szCs w:val="22"/>
        </w:rPr>
        <w:t>A survey reveals that these spaces served two opposite functions. Most commonly, they served as areas or rooms for specialist temple functions (such as treasuries) or for accessory services for priests or other temple personnel. In these cases, the activity in the space beyond the temple reinforced the authority and hierarchy of the temple personnel. In other cases, however, such spaces allowed non-priests to glimpse or eavesdrop (even if not to enter) the holiest parts of the site, circumventing the usual sacred axis and hierarchy, and creating an alternative means to approach the gods. A comparison of temples from different periods and cultures may provide indications to the factors controlling these different scenarios.</w:t>
      </w:r>
    </w:p>
    <w:p w14:paraId="2086CE3E" w14:textId="77777777" w:rsidR="00247FF3" w:rsidRPr="002F0628" w:rsidRDefault="00247FF3"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r w:rsidRPr="002F0628">
        <w:rPr>
          <w:rFonts w:asciiTheme="minorHAnsi" w:eastAsia="Times New Roman" w:hAnsiTheme="minorHAnsi" w:cs="Times New Roman"/>
          <w:color w:val="000000"/>
          <w:sz w:val="22"/>
          <w:szCs w:val="22"/>
          <w:u w:color="000000"/>
        </w:rPr>
        <w:t>  </w:t>
      </w:r>
    </w:p>
    <w:p w14:paraId="40CB4CE9" w14:textId="77777777" w:rsidR="00B62CE7" w:rsidRPr="002F0628" w:rsidRDefault="00B62CE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p>
    <w:p w14:paraId="1FA4FC50" w14:textId="24244A85" w:rsidR="00D238BE" w:rsidRPr="002F0628" w:rsidRDefault="00D238BE" w:rsidP="00DD0D4A">
      <w:pPr>
        <w:pStyle w:val="Body"/>
        <w:spacing w:line="276" w:lineRule="auto"/>
        <w:jc w:val="both"/>
        <w:rPr>
          <w:rFonts w:asciiTheme="minorHAnsi" w:eastAsia="Palatino" w:hAnsiTheme="minorHAnsi" w:cs="Palatino"/>
          <w:sz w:val="22"/>
          <w:szCs w:val="22"/>
        </w:rPr>
      </w:pPr>
      <w:proofErr w:type="spellStart"/>
      <w:r w:rsidRPr="002F0628">
        <w:rPr>
          <w:rFonts w:asciiTheme="minorHAnsi" w:hAnsiTheme="minorHAnsi"/>
          <w:sz w:val="22"/>
          <w:szCs w:val="22"/>
        </w:rPr>
        <w:t>Nurit</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Shoval-Dudai</w:t>
      </w:r>
      <w:proofErr w:type="spellEnd"/>
      <w:r w:rsidR="00B60261">
        <w:rPr>
          <w:rFonts w:asciiTheme="minorHAnsi" w:hAnsiTheme="minorHAnsi"/>
          <w:sz w:val="22"/>
          <w:szCs w:val="22"/>
        </w:rPr>
        <w:t xml:space="preserve"> (</w:t>
      </w:r>
      <w:r w:rsidRPr="002F0628">
        <w:rPr>
          <w:rFonts w:asciiTheme="minorHAnsi" w:hAnsiTheme="minorHAnsi"/>
          <w:sz w:val="22"/>
          <w:szCs w:val="22"/>
        </w:rPr>
        <w:t>Ben-Gurion University and the Academy</w:t>
      </w:r>
      <w:r w:rsidR="00783E78">
        <w:rPr>
          <w:rFonts w:asciiTheme="minorHAnsi" w:hAnsiTheme="minorHAnsi"/>
          <w:sz w:val="22"/>
          <w:szCs w:val="22"/>
        </w:rPr>
        <w:t xml:space="preserve"> of the Hebrew Language</w:t>
      </w:r>
      <w:r w:rsidR="00B60261">
        <w:rPr>
          <w:rFonts w:asciiTheme="minorHAnsi" w:hAnsiTheme="minorHAnsi"/>
          <w:sz w:val="22"/>
          <w:szCs w:val="22"/>
        </w:rPr>
        <w:t>)</w:t>
      </w:r>
    </w:p>
    <w:p w14:paraId="17704336" w14:textId="77777777" w:rsidR="00D238BE" w:rsidRPr="00B60261" w:rsidRDefault="00D238BE"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Cs/>
          <w:sz w:val="22"/>
          <w:szCs w:val="22"/>
        </w:rPr>
      </w:pPr>
      <w:r w:rsidRPr="00B60261">
        <w:rPr>
          <w:rFonts w:asciiTheme="minorHAnsi" w:hAnsiTheme="minorHAnsi"/>
          <w:sz w:val="22"/>
          <w:szCs w:val="22"/>
        </w:rPr>
        <w:t> </w:t>
      </w:r>
      <w:proofErr w:type="gramStart"/>
      <w:r w:rsidRPr="00B60261">
        <w:rPr>
          <w:rFonts w:asciiTheme="minorHAnsi" w:hAnsiTheme="minorHAnsi"/>
          <w:bCs/>
          <w:sz w:val="22"/>
          <w:szCs w:val="22"/>
        </w:rPr>
        <w:t>nurit.shoval@gmail.com</w:t>
      </w:r>
      <w:proofErr w:type="gramEnd"/>
    </w:p>
    <w:p w14:paraId="48CF204B" w14:textId="77777777" w:rsidR="00D238BE" w:rsidRPr="002F0628" w:rsidRDefault="00D238BE" w:rsidP="00DD0D4A">
      <w:pPr>
        <w:pStyle w:val="Body"/>
        <w:spacing w:line="276" w:lineRule="auto"/>
        <w:jc w:val="both"/>
        <w:rPr>
          <w:rFonts w:asciiTheme="minorHAnsi" w:eastAsia="Palatino" w:hAnsiTheme="minorHAnsi" w:cs="Palatino"/>
          <w:sz w:val="22"/>
          <w:szCs w:val="22"/>
        </w:rPr>
      </w:pPr>
      <w:bookmarkStart w:id="0" w:name="_GoBack"/>
      <w:bookmarkEnd w:id="0"/>
    </w:p>
    <w:p w14:paraId="4D16C77E" w14:textId="77777777" w:rsidR="00D238BE" w:rsidRPr="002F0628" w:rsidRDefault="00D238BE" w:rsidP="00DD0D4A">
      <w:pPr>
        <w:pStyle w:val="Body"/>
        <w:spacing w:line="276" w:lineRule="auto"/>
        <w:jc w:val="both"/>
        <w:rPr>
          <w:rFonts w:asciiTheme="minorHAnsi" w:eastAsia="Palatino" w:hAnsiTheme="minorHAnsi" w:cs="Palatino"/>
          <w:b/>
          <w:bCs/>
          <w:sz w:val="22"/>
          <w:szCs w:val="22"/>
        </w:rPr>
      </w:pPr>
      <w:r w:rsidRPr="002F0628">
        <w:rPr>
          <w:rFonts w:asciiTheme="minorHAnsi" w:hAnsiTheme="minorHAnsi"/>
          <w:b/>
          <w:bCs/>
          <w:sz w:val="22"/>
          <w:szCs w:val="22"/>
        </w:rPr>
        <w:t>Greek and Latin Loanwords in the Historical Dictionary of the Hebrew Language</w:t>
      </w:r>
    </w:p>
    <w:p w14:paraId="161F6B7E" w14:textId="77777777" w:rsidR="001C25C7" w:rsidRPr="001C25C7" w:rsidRDefault="001C25C7" w:rsidP="001C25C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rPr>
          <w:rFonts w:asciiTheme="minorHAnsi" w:hAnsiTheme="minorHAnsi"/>
          <w:sz w:val="22"/>
          <w:szCs w:val="22"/>
        </w:rPr>
      </w:pPr>
      <w:r w:rsidRPr="001C25C7">
        <w:rPr>
          <w:rFonts w:asciiTheme="minorHAnsi" w:hAnsiTheme="minorHAnsi"/>
          <w:sz w:val="22"/>
          <w:szCs w:val="22"/>
        </w:rPr>
        <w:t>The identification of Greek and Latin loanwords in the Historical Dictionary of the Hebrew Language was recently accomplished. Each lexeme was identified and examined in all its occurrences in the literature written between 200 B.C. and A.D. 1050. I will hereby describe the contribution and implications of this research.</w:t>
      </w:r>
    </w:p>
    <w:p w14:paraId="6F8EBEDF" w14:textId="53478C49" w:rsidR="001C25C7" w:rsidRPr="002F0628" w:rsidRDefault="001C25C7" w:rsidP="001C25C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hAnsiTheme="minorHAnsi"/>
          <w:sz w:val="22"/>
          <w:szCs w:val="22"/>
        </w:rPr>
      </w:pPr>
      <w:r w:rsidRPr="001C25C7">
        <w:rPr>
          <w:rFonts w:asciiTheme="minorHAnsi" w:hAnsiTheme="minorHAnsi"/>
          <w:sz w:val="22"/>
          <w:szCs w:val="22"/>
        </w:rPr>
        <w:t xml:space="preserve">Greek and Latin lexemes were marked in the computerized corpus of texts by a distinctive note. Their inclusion in the database enables various </w:t>
      </w:r>
      <w:proofErr w:type="gramStart"/>
      <w:r w:rsidRPr="001C25C7">
        <w:rPr>
          <w:rFonts w:asciiTheme="minorHAnsi" w:hAnsiTheme="minorHAnsi"/>
          <w:sz w:val="22"/>
          <w:szCs w:val="22"/>
        </w:rPr>
        <w:t>investigations which</w:t>
      </w:r>
      <w:proofErr w:type="gramEnd"/>
      <w:r w:rsidRPr="001C25C7">
        <w:rPr>
          <w:rFonts w:asciiTheme="minorHAnsi" w:hAnsiTheme="minorHAnsi"/>
          <w:sz w:val="22"/>
          <w:szCs w:val="22"/>
        </w:rPr>
        <w:t xml:space="preserve"> were hardly possible to attain hitherto. I will demonstrate some of these options in the texts and point out how this work advances the revision of Samuel Krauss' dictionary of Greek and Latin loanwords</w:t>
      </w:r>
      <w:r w:rsidR="00783E78">
        <w:rPr>
          <w:rFonts w:asciiTheme="minorHAnsi" w:hAnsiTheme="minorHAnsi"/>
          <w:sz w:val="22"/>
          <w:szCs w:val="22"/>
        </w:rPr>
        <w:t>.</w:t>
      </w:r>
    </w:p>
    <w:p w14:paraId="5CE1DF8B" w14:textId="77777777" w:rsidR="00D238BE" w:rsidRPr="002F0628" w:rsidRDefault="00D238BE"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hAnsiTheme="minorHAnsi"/>
          <w:sz w:val="22"/>
          <w:szCs w:val="22"/>
        </w:rPr>
      </w:pPr>
    </w:p>
    <w:p w14:paraId="6049B8C0" w14:textId="77777777" w:rsidR="00D238BE" w:rsidRPr="002F0628" w:rsidRDefault="00D238BE"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p>
    <w:p w14:paraId="1F8EFC48" w14:textId="77777777" w:rsidR="00D238BE" w:rsidRPr="002F0628" w:rsidRDefault="00D238BE" w:rsidP="00DD0D4A">
      <w:pPr>
        <w:pStyle w:val="Body"/>
        <w:spacing w:line="276" w:lineRule="auto"/>
        <w:jc w:val="both"/>
        <w:rPr>
          <w:rFonts w:asciiTheme="minorHAnsi" w:eastAsia="Palatino" w:hAnsiTheme="minorHAnsi" w:cs="Palatino"/>
          <w:sz w:val="22"/>
          <w:szCs w:val="22"/>
        </w:rPr>
      </w:pPr>
      <w:proofErr w:type="spellStart"/>
      <w:r w:rsidRPr="002F0628">
        <w:rPr>
          <w:rFonts w:asciiTheme="minorHAnsi" w:hAnsiTheme="minorHAnsi"/>
          <w:sz w:val="22"/>
          <w:szCs w:val="22"/>
        </w:rPr>
        <w:t>Cofman-Simhon</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Sarit</w:t>
      </w:r>
      <w:proofErr w:type="spellEnd"/>
    </w:p>
    <w:p w14:paraId="4B7127E7" w14:textId="77777777" w:rsidR="00D238BE" w:rsidRPr="002F0628" w:rsidRDefault="00D238BE" w:rsidP="00DD0D4A">
      <w:pPr>
        <w:pStyle w:val="Body"/>
        <w:spacing w:line="276" w:lineRule="auto"/>
        <w:jc w:val="both"/>
        <w:rPr>
          <w:rFonts w:asciiTheme="minorHAnsi" w:eastAsia="Palatino" w:hAnsiTheme="minorHAnsi" w:cs="Palatino"/>
          <w:sz w:val="22"/>
          <w:szCs w:val="22"/>
        </w:rPr>
      </w:pPr>
      <w:proofErr w:type="spellStart"/>
      <w:r w:rsidRPr="002F0628">
        <w:rPr>
          <w:rFonts w:asciiTheme="minorHAnsi" w:hAnsiTheme="minorHAnsi"/>
          <w:sz w:val="22"/>
          <w:szCs w:val="22"/>
          <w:lang w:val="de-DE"/>
        </w:rPr>
        <w:t>Kibbutzim</w:t>
      </w:r>
      <w:proofErr w:type="spellEnd"/>
      <w:r w:rsidRPr="002F0628">
        <w:rPr>
          <w:rFonts w:asciiTheme="minorHAnsi" w:hAnsiTheme="minorHAnsi"/>
          <w:sz w:val="22"/>
          <w:szCs w:val="22"/>
          <w:lang w:val="de-DE"/>
        </w:rPr>
        <w:t xml:space="preserve"> College, </w:t>
      </w:r>
      <w:proofErr w:type="spellStart"/>
      <w:r w:rsidRPr="002F0628">
        <w:rPr>
          <w:rFonts w:asciiTheme="minorHAnsi" w:hAnsiTheme="minorHAnsi"/>
          <w:sz w:val="22"/>
          <w:szCs w:val="22"/>
          <w:lang w:val="de-DE"/>
        </w:rPr>
        <w:t>Emunah</w:t>
      </w:r>
      <w:proofErr w:type="spellEnd"/>
      <w:r w:rsidRPr="002F0628">
        <w:rPr>
          <w:rFonts w:asciiTheme="minorHAnsi" w:hAnsiTheme="minorHAnsi"/>
          <w:sz w:val="22"/>
          <w:szCs w:val="22"/>
          <w:lang w:val="de-DE"/>
        </w:rPr>
        <w:t xml:space="preserve"> College</w:t>
      </w:r>
    </w:p>
    <w:p w14:paraId="4F14A946" w14:textId="77777777" w:rsidR="00D238BE" w:rsidRPr="002F0628" w:rsidRDefault="00D238BE" w:rsidP="00DD0D4A">
      <w:pPr>
        <w:pStyle w:val="Body"/>
        <w:spacing w:line="276" w:lineRule="auto"/>
        <w:jc w:val="both"/>
        <w:rPr>
          <w:rFonts w:asciiTheme="minorHAnsi" w:eastAsia="Palatino" w:hAnsiTheme="minorHAnsi" w:cs="Palatino"/>
          <w:sz w:val="22"/>
          <w:szCs w:val="22"/>
        </w:rPr>
      </w:pPr>
      <w:r w:rsidRPr="002F0628">
        <w:rPr>
          <w:rFonts w:asciiTheme="minorHAnsi" w:hAnsiTheme="minorHAnsi"/>
          <w:sz w:val="22"/>
          <w:szCs w:val="22"/>
        </w:rPr>
        <w:t>saritcofman67@gmail.com </w:t>
      </w:r>
    </w:p>
    <w:p w14:paraId="66AED2E5" w14:textId="77777777" w:rsidR="00D238BE" w:rsidRPr="002F0628" w:rsidRDefault="00D238BE" w:rsidP="00DD0D4A">
      <w:pPr>
        <w:pStyle w:val="Body"/>
        <w:spacing w:line="276" w:lineRule="auto"/>
        <w:jc w:val="both"/>
        <w:rPr>
          <w:rFonts w:asciiTheme="minorHAnsi" w:eastAsia="Palatino" w:hAnsiTheme="minorHAnsi" w:cs="Palatino"/>
          <w:sz w:val="22"/>
          <w:szCs w:val="22"/>
        </w:rPr>
      </w:pPr>
    </w:p>
    <w:p w14:paraId="5BDD8DAE" w14:textId="77777777" w:rsidR="00D238BE" w:rsidRPr="002F0628" w:rsidRDefault="00D238BE" w:rsidP="00DD0D4A">
      <w:pPr>
        <w:pStyle w:val="Body"/>
        <w:spacing w:line="276" w:lineRule="auto"/>
        <w:jc w:val="both"/>
        <w:rPr>
          <w:rFonts w:asciiTheme="minorHAnsi" w:eastAsia="Palatino" w:hAnsiTheme="minorHAnsi" w:cs="Palatino"/>
          <w:b/>
          <w:bCs/>
          <w:sz w:val="22"/>
          <w:szCs w:val="22"/>
        </w:rPr>
      </w:pPr>
      <w:r w:rsidRPr="002F0628">
        <w:rPr>
          <w:rFonts w:asciiTheme="minorHAnsi" w:hAnsiTheme="minorHAnsi"/>
          <w:b/>
          <w:bCs/>
          <w:sz w:val="22"/>
          <w:szCs w:val="22"/>
        </w:rPr>
        <w:t>The Hellenistic Play </w:t>
      </w:r>
      <w:proofErr w:type="spellStart"/>
      <w:r w:rsidRPr="002F0628">
        <w:rPr>
          <w:rFonts w:asciiTheme="minorHAnsi" w:hAnsiTheme="minorHAnsi"/>
          <w:b/>
          <w:bCs/>
          <w:i/>
          <w:iCs/>
          <w:sz w:val="22"/>
          <w:szCs w:val="22"/>
        </w:rPr>
        <w:t>Exagoge</w:t>
      </w:r>
      <w:proofErr w:type="spellEnd"/>
      <w:r w:rsidRPr="002F0628">
        <w:rPr>
          <w:rFonts w:asciiTheme="minorHAnsi" w:hAnsiTheme="minorHAnsi"/>
          <w:b/>
          <w:bCs/>
          <w:sz w:val="22"/>
          <w:szCs w:val="22"/>
        </w:rPr>
        <w:t>: From "Not Too Jewish" to "Jewish Enough"</w:t>
      </w:r>
    </w:p>
    <w:p w14:paraId="5D913B07" w14:textId="026BFA66" w:rsidR="00D238BE" w:rsidRPr="002F0628" w:rsidRDefault="00B60261" w:rsidP="00DD0D4A">
      <w:pPr>
        <w:pStyle w:val="Body"/>
        <w:spacing w:line="276" w:lineRule="auto"/>
        <w:jc w:val="both"/>
        <w:rPr>
          <w:rFonts w:asciiTheme="minorHAnsi" w:eastAsia="Palatino" w:hAnsiTheme="minorHAnsi" w:cs="Palatino"/>
          <w:sz w:val="22"/>
          <w:szCs w:val="22"/>
        </w:rPr>
      </w:pPr>
      <w:r>
        <w:rPr>
          <w:rFonts w:asciiTheme="minorHAnsi" w:hAnsiTheme="minorHAnsi"/>
          <w:sz w:val="22"/>
          <w:szCs w:val="22"/>
        </w:rPr>
        <w:t> </w:t>
      </w:r>
      <w:r w:rsidR="00D238BE" w:rsidRPr="002F0628">
        <w:rPr>
          <w:rFonts w:asciiTheme="minorHAnsi" w:hAnsiTheme="minorHAnsi"/>
          <w:sz w:val="22"/>
          <w:szCs w:val="22"/>
        </w:rPr>
        <w:t>Howard Jacobson opens his treatise of Ezekiel’s play, </w:t>
      </w:r>
      <w:proofErr w:type="spellStart"/>
      <w:r w:rsidR="00D238BE" w:rsidRPr="002F0628">
        <w:rPr>
          <w:rFonts w:asciiTheme="minorHAnsi" w:hAnsiTheme="minorHAnsi"/>
          <w:i/>
          <w:iCs/>
          <w:sz w:val="22"/>
          <w:szCs w:val="22"/>
        </w:rPr>
        <w:t>Exagoge</w:t>
      </w:r>
      <w:proofErr w:type="spellEnd"/>
      <w:r w:rsidR="00D238BE" w:rsidRPr="002F0628">
        <w:rPr>
          <w:rFonts w:asciiTheme="minorHAnsi" w:hAnsiTheme="minorHAnsi"/>
          <w:sz w:val="22"/>
          <w:szCs w:val="22"/>
        </w:rPr>
        <w:t>, with the following statement: "Ezekiel the tragedian is a writer of major importance. The fragments of his </w:t>
      </w:r>
      <w:proofErr w:type="spellStart"/>
      <w:r w:rsidR="00D238BE" w:rsidRPr="002F0628">
        <w:rPr>
          <w:rFonts w:asciiTheme="minorHAnsi" w:hAnsiTheme="minorHAnsi"/>
          <w:i/>
          <w:iCs/>
          <w:sz w:val="22"/>
          <w:szCs w:val="22"/>
        </w:rPr>
        <w:t>Exagoge</w:t>
      </w:r>
      <w:proofErr w:type="spellEnd"/>
      <w:r w:rsidR="00D238BE" w:rsidRPr="002F0628">
        <w:rPr>
          <w:rFonts w:asciiTheme="minorHAnsi" w:hAnsiTheme="minorHAnsi"/>
          <w:sz w:val="22"/>
          <w:szCs w:val="22"/>
        </w:rPr>
        <w:t> represent the most extensive remains of any Hellenistic tragedy—or indeed tragedian. Consequently, Ezekiel is our most significant source of evidence for Hellenistic tragedy" (Jacobson, 1).</w:t>
      </w:r>
    </w:p>
    <w:p w14:paraId="27926E2F" w14:textId="7A8BBE59" w:rsidR="00D238BE" w:rsidRPr="002F0628" w:rsidRDefault="00B60261" w:rsidP="00DD0D4A">
      <w:pPr>
        <w:pStyle w:val="Body"/>
        <w:spacing w:line="276" w:lineRule="auto"/>
        <w:jc w:val="both"/>
        <w:rPr>
          <w:rFonts w:asciiTheme="minorHAnsi" w:eastAsia="Palatino" w:hAnsiTheme="minorHAnsi" w:cs="Palatino"/>
          <w:sz w:val="22"/>
          <w:szCs w:val="22"/>
        </w:rPr>
      </w:pPr>
      <w:r>
        <w:rPr>
          <w:rFonts w:asciiTheme="minorHAnsi" w:hAnsiTheme="minorHAnsi"/>
          <w:sz w:val="22"/>
          <w:szCs w:val="22"/>
        </w:rPr>
        <w:t> </w:t>
      </w:r>
      <w:r w:rsidR="00D238BE" w:rsidRPr="002F0628">
        <w:rPr>
          <w:rFonts w:asciiTheme="minorHAnsi" w:hAnsiTheme="minorHAnsi"/>
          <w:sz w:val="22"/>
          <w:szCs w:val="22"/>
        </w:rPr>
        <w:t>Ezekiel (</w:t>
      </w:r>
      <w:proofErr w:type="spellStart"/>
      <w:r w:rsidR="00D238BE" w:rsidRPr="002F0628">
        <w:rPr>
          <w:rFonts w:asciiTheme="minorHAnsi" w:hAnsiTheme="minorHAnsi"/>
          <w:sz w:val="22"/>
          <w:szCs w:val="22"/>
        </w:rPr>
        <w:t>Ezechielus</w:t>
      </w:r>
      <w:proofErr w:type="spellEnd"/>
      <w:r w:rsidR="00D238BE" w:rsidRPr="002F0628">
        <w:rPr>
          <w:rFonts w:asciiTheme="minorHAnsi" w:hAnsiTheme="minorHAnsi"/>
          <w:sz w:val="22"/>
          <w:szCs w:val="22"/>
        </w:rPr>
        <w:t xml:space="preserve">), a Jewish tragedian, who lived in Alexandria probably during the second century BCE, was the author of the first known Jewish </w:t>
      </w:r>
      <w:proofErr w:type="spellStart"/>
      <w:r w:rsidR="00D238BE" w:rsidRPr="002F0628">
        <w:rPr>
          <w:rFonts w:asciiTheme="minorHAnsi" w:hAnsiTheme="minorHAnsi"/>
          <w:sz w:val="22"/>
          <w:szCs w:val="22"/>
        </w:rPr>
        <w:t>playtext</w:t>
      </w:r>
      <w:proofErr w:type="spellEnd"/>
      <w:r w:rsidR="00D238BE" w:rsidRPr="002F0628">
        <w:rPr>
          <w:rFonts w:asciiTheme="minorHAnsi" w:hAnsiTheme="minorHAnsi"/>
          <w:sz w:val="22"/>
          <w:szCs w:val="22"/>
        </w:rPr>
        <w:t>. His </w:t>
      </w:r>
      <w:proofErr w:type="spellStart"/>
      <w:r w:rsidR="00D238BE" w:rsidRPr="002F0628">
        <w:rPr>
          <w:rFonts w:asciiTheme="minorHAnsi" w:hAnsiTheme="minorHAnsi"/>
          <w:i/>
          <w:iCs/>
          <w:sz w:val="22"/>
          <w:szCs w:val="22"/>
        </w:rPr>
        <w:t>Exagoge</w:t>
      </w:r>
      <w:proofErr w:type="spellEnd"/>
      <w:r w:rsidR="00D238BE" w:rsidRPr="002F0628">
        <w:rPr>
          <w:rFonts w:asciiTheme="minorHAnsi" w:hAnsiTheme="minorHAnsi"/>
          <w:sz w:val="22"/>
          <w:szCs w:val="22"/>
        </w:rPr>
        <w:t>, originally written in Greek, has not survived in its entirety, but the seventeen scenes that have reached us are of incomparable value. Despite its obvious historic importance, the play has had no presence in Jewish culture (considered "not Jewish enough"), and it was Hellenic, Roman, and Christian scholars who translated, interpreted, preserved, and put the play to their own use. Only in the nineteenth century did German Jewish intellectuals reclaim </w:t>
      </w:r>
      <w:proofErr w:type="spellStart"/>
      <w:r w:rsidR="00D238BE" w:rsidRPr="002F0628">
        <w:rPr>
          <w:rFonts w:asciiTheme="minorHAnsi" w:hAnsiTheme="minorHAnsi"/>
          <w:i/>
          <w:iCs/>
          <w:sz w:val="22"/>
          <w:szCs w:val="22"/>
        </w:rPr>
        <w:t>Exagoge</w:t>
      </w:r>
      <w:proofErr w:type="spellEnd"/>
      <w:r w:rsidR="00D238BE" w:rsidRPr="002F0628">
        <w:rPr>
          <w:rFonts w:asciiTheme="minorHAnsi" w:hAnsiTheme="minorHAnsi"/>
          <w:sz w:val="22"/>
          <w:szCs w:val="22"/>
        </w:rPr>
        <w:t> as a Jewish work. </w:t>
      </w:r>
    </w:p>
    <w:p w14:paraId="3799D778" w14:textId="0E4F06FA" w:rsidR="00D238BE" w:rsidRPr="002F0628" w:rsidRDefault="00D238BE" w:rsidP="00DD0D4A">
      <w:pPr>
        <w:pStyle w:val="Body"/>
        <w:spacing w:line="276" w:lineRule="auto"/>
        <w:jc w:val="both"/>
        <w:rPr>
          <w:rFonts w:asciiTheme="minorHAnsi" w:eastAsia="Palatino" w:hAnsiTheme="minorHAnsi" w:cs="Palatino"/>
          <w:sz w:val="22"/>
          <w:szCs w:val="22"/>
        </w:rPr>
      </w:pPr>
      <w:r w:rsidRPr="002F0628">
        <w:rPr>
          <w:rFonts w:asciiTheme="minorHAnsi" w:hAnsiTheme="minorHAnsi"/>
          <w:sz w:val="22"/>
          <w:szCs w:val="22"/>
        </w:rPr>
        <w:t>In this presentation I aim to examine the various readings of </w:t>
      </w:r>
      <w:proofErr w:type="spellStart"/>
      <w:r w:rsidRPr="002F0628">
        <w:rPr>
          <w:rFonts w:asciiTheme="minorHAnsi" w:hAnsiTheme="minorHAnsi"/>
          <w:i/>
          <w:iCs/>
          <w:sz w:val="22"/>
          <w:szCs w:val="22"/>
        </w:rPr>
        <w:t>Exagoge</w:t>
      </w:r>
      <w:proofErr w:type="spellEnd"/>
      <w:r w:rsidRPr="002F0628">
        <w:rPr>
          <w:rFonts w:asciiTheme="minorHAnsi" w:hAnsiTheme="minorHAnsi"/>
          <w:sz w:val="22"/>
          <w:szCs w:val="22"/>
        </w:rPr>
        <w:t>, to explore the metamorphosis it underwent from Alexandria </w:t>
      </w:r>
      <w:r w:rsidRPr="002F0628">
        <w:rPr>
          <w:rFonts w:asciiTheme="minorHAnsi" w:hAnsiTheme="minorHAnsi"/>
          <w:sz w:val="22"/>
          <w:szCs w:val="22"/>
          <w:lang w:val="fr-FR"/>
        </w:rPr>
        <w:t>en route to</w:t>
      </w:r>
      <w:r w:rsidRPr="002F0628">
        <w:rPr>
          <w:rFonts w:asciiTheme="minorHAnsi" w:hAnsiTheme="minorHAnsi"/>
          <w:sz w:val="22"/>
          <w:szCs w:val="22"/>
        </w:rPr>
        <w:t> Berlin, and, ultimately, to explore how the readers’ respective agendas determined the reading and the identity of the text. The intentions of the different readers generated a variety of meanings, ranging from Christian apologetics during the Roman period, anti-</w:t>
      </w:r>
      <w:r w:rsidRPr="002F0628">
        <w:rPr>
          <w:rFonts w:asciiTheme="minorHAnsi" w:hAnsiTheme="minorHAnsi"/>
          <w:sz w:val="22"/>
          <w:szCs w:val="22"/>
        </w:rPr>
        <w:lastRenderedPageBreak/>
        <w:t xml:space="preserve">Jewish propaganda during the Renaissance, </w:t>
      </w:r>
      <w:proofErr w:type="gramStart"/>
      <w:r w:rsidRPr="002F0628">
        <w:rPr>
          <w:rFonts w:asciiTheme="minorHAnsi" w:hAnsiTheme="minorHAnsi"/>
          <w:sz w:val="22"/>
          <w:szCs w:val="22"/>
        </w:rPr>
        <w:t>theater</w:t>
      </w:r>
      <w:proofErr w:type="gramEnd"/>
      <w:r w:rsidRPr="002F0628">
        <w:rPr>
          <w:rFonts w:asciiTheme="minorHAnsi" w:hAnsiTheme="minorHAnsi"/>
          <w:sz w:val="22"/>
          <w:szCs w:val="22"/>
        </w:rPr>
        <w:t xml:space="preserve"> apologetics in the French Baroque, to its ultimate comeback as a “Jewish enough” text. </w:t>
      </w:r>
    </w:p>
    <w:p w14:paraId="5CB07ECC" w14:textId="23EBDAA1" w:rsidR="00247FF3" w:rsidRPr="002F0628" w:rsidRDefault="00D238BE"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roofErr w:type="spellStart"/>
      <w:r w:rsidRPr="002F0628">
        <w:rPr>
          <w:rFonts w:asciiTheme="minorHAnsi" w:hAnsiTheme="minorHAnsi"/>
          <w:i/>
          <w:iCs/>
          <w:sz w:val="22"/>
          <w:szCs w:val="22"/>
        </w:rPr>
        <w:t>Exagoge</w:t>
      </w:r>
      <w:r w:rsidRPr="002F0628">
        <w:rPr>
          <w:rFonts w:asciiTheme="minorHAnsi" w:hAnsiTheme="minorHAnsi"/>
          <w:sz w:val="22"/>
          <w:szCs w:val="22"/>
        </w:rPr>
        <w:t>’s</w:t>
      </w:r>
      <w:proofErr w:type="spellEnd"/>
      <w:r w:rsidRPr="002F0628">
        <w:rPr>
          <w:rFonts w:asciiTheme="minorHAnsi" w:hAnsiTheme="minorHAnsi"/>
          <w:sz w:val="22"/>
          <w:szCs w:val="22"/>
        </w:rPr>
        <w:t xml:space="preserve"> unique status and multiplicity of usages indicate its liminal, fluid, and transcultural nature. It may be that this very special malleability guaranteed its survival, while the texts of other Hellenistic tragedies have not survived the vicissitudes of time.</w:t>
      </w:r>
    </w:p>
    <w:p w14:paraId="44958FE6" w14:textId="77777777" w:rsidR="00D238BE" w:rsidRPr="002F0628" w:rsidRDefault="00D238BE"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38BE50FC" w14:textId="77777777" w:rsidR="00D238BE" w:rsidRPr="002F0628" w:rsidRDefault="00D238BE"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lang w:bidi="he-IL"/>
        </w:rPr>
      </w:pPr>
    </w:p>
    <w:p w14:paraId="4990D00B" w14:textId="77777777" w:rsidR="00E61644" w:rsidRPr="002F0628" w:rsidRDefault="00E61644" w:rsidP="00DD0D4A">
      <w:pPr>
        <w:spacing w:line="276" w:lineRule="auto"/>
        <w:jc w:val="both"/>
        <w:rPr>
          <w:rFonts w:asciiTheme="minorHAnsi" w:hAnsiTheme="minorHAnsi"/>
          <w:sz w:val="22"/>
          <w:szCs w:val="22"/>
        </w:rPr>
      </w:pPr>
      <w:r w:rsidRPr="002F0628">
        <w:rPr>
          <w:rFonts w:asciiTheme="minorHAnsi" w:hAnsiTheme="minorHAnsi"/>
          <w:sz w:val="22"/>
          <w:szCs w:val="22"/>
        </w:rPr>
        <w:t>SESSION SEVEN (HEBREW) 11:15-12:45</w:t>
      </w:r>
    </w:p>
    <w:p w14:paraId="538A1DD9" w14:textId="77777777" w:rsidR="00E61644" w:rsidRPr="002F0628" w:rsidRDefault="00E61644"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Chair: </w:t>
      </w:r>
      <w:proofErr w:type="spellStart"/>
      <w:r w:rsidRPr="002F0628">
        <w:rPr>
          <w:rFonts w:asciiTheme="minorHAnsi" w:hAnsiTheme="minorHAnsi"/>
          <w:sz w:val="22"/>
          <w:szCs w:val="22"/>
        </w:rPr>
        <w:t>Menahem</w:t>
      </w:r>
      <w:proofErr w:type="spellEnd"/>
      <w:r w:rsidRPr="002F0628">
        <w:rPr>
          <w:rFonts w:asciiTheme="minorHAnsi" w:hAnsiTheme="minorHAnsi"/>
          <w:sz w:val="22"/>
          <w:szCs w:val="22"/>
        </w:rPr>
        <w:t xml:space="preserve"> Luz (Haifa University)</w:t>
      </w:r>
    </w:p>
    <w:p w14:paraId="74A7DE3A" w14:textId="77777777" w:rsidR="00E61644" w:rsidRPr="002F0628" w:rsidRDefault="00E61644" w:rsidP="00DD0D4A">
      <w:pPr>
        <w:spacing w:line="276" w:lineRule="auto"/>
        <w:jc w:val="both"/>
        <w:rPr>
          <w:rFonts w:asciiTheme="minorHAnsi" w:hAnsiTheme="minorHAnsi"/>
          <w:sz w:val="22"/>
          <w:szCs w:val="22"/>
        </w:rPr>
      </w:pPr>
    </w:p>
    <w:p w14:paraId="7ADBA971" w14:textId="77777777" w:rsidR="00B60261" w:rsidRDefault="00B60261"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Amit</w:t>
      </w:r>
      <w:proofErr w:type="spellEnd"/>
      <w:r>
        <w:rPr>
          <w:rFonts w:asciiTheme="minorHAnsi" w:hAnsiTheme="minorHAnsi"/>
          <w:color w:val="000000"/>
          <w:sz w:val="22"/>
          <w:szCs w:val="22"/>
        </w:rPr>
        <w:t xml:space="preserve"> </w:t>
      </w:r>
      <w:proofErr w:type="spellStart"/>
      <w:r w:rsidR="00E61644" w:rsidRPr="002F0628">
        <w:rPr>
          <w:rFonts w:asciiTheme="minorHAnsi" w:hAnsiTheme="minorHAnsi"/>
          <w:color w:val="000000"/>
          <w:sz w:val="22"/>
          <w:szCs w:val="22"/>
        </w:rPr>
        <w:t>Baratz</w:t>
      </w:r>
      <w:proofErr w:type="spellEnd"/>
      <w:r>
        <w:rPr>
          <w:rFonts w:asciiTheme="minorHAnsi" w:hAnsiTheme="minorHAnsi"/>
          <w:color w:val="000000"/>
          <w:sz w:val="22"/>
          <w:szCs w:val="22"/>
        </w:rPr>
        <w:t xml:space="preserve"> (</w:t>
      </w:r>
      <w:r w:rsidR="00E61644" w:rsidRPr="002F0628">
        <w:rPr>
          <w:rFonts w:asciiTheme="minorHAnsi" w:hAnsiTheme="minorHAnsi"/>
          <w:color w:val="000000"/>
          <w:sz w:val="22"/>
          <w:szCs w:val="22"/>
        </w:rPr>
        <w:t>Tel-Aviv University</w:t>
      </w:r>
      <w:r>
        <w:rPr>
          <w:rFonts w:asciiTheme="minorHAnsi" w:hAnsiTheme="minorHAnsi"/>
          <w:color w:val="000000"/>
          <w:sz w:val="22"/>
          <w:szCs w:val="22"/>
        </w:rPr>
        <w:t>)</w:t>
      </w:r>
    </w:p>
    <w:p w14:paraId="1E991FC7" w14:textId="7364DB46" w:rsidR="00B60261" w:rsidRDefault="00B60261"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Pr>
          <w:rFonts w:asciiTheme="minorHAnsi" w:hAnsiTheme="minorHAnsi"/>
          <w:color w:val="000000"/>
          <w:sz w:val="22"/>
          <w:szCs w:val="22"/>
        </w:rPr>
        <w:t>amitbaratz@gmail.com</w:t>
      </w:r>
    </w:p>
    <w:p w14:paraId="7F3CFF4B" w14:textId="77777777" w:rsidR="00B60261" w:rsidRDefault="00B60261"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509CF39B"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color w:val="000000"/>
          <w:sz w:val="22"/>
          <w:szCs w:val="22"/>
        </w:rPr>
      </w:pPr>
      <w:r w:rsidRPr="00B60261">
        <w:rPr>
          <w:rFonts w:asciiTheme="minorHAnsi" w:hAnsiTheme="minorHAnsi"/>
          <w:b/>
          <w:color w:val="000000"/>
          <w:sz w:val="22"/>
          <w:szCs w:val="22"/>
        </w:rPr>
        <w:t>The Source of the Gods' Immortality in Archaic Greek Literature</w:t>
      </w:r>
    </w:p>
    <w:p w14:paraId="49127AA0"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Many scholars, including W.H. </w:t>
      </w:r>
      <w:proofErr w:type="spellStart"/>
      <w:r w:rsidRPr="002F0628">
        <w:rPr>
          <w:rFonts w:asciiTheme="minorHAnsi" w:hAnsiTheme="minorHAnsi"/>
          <w:color w:val="000000"/>
          <w:sz w:val="22"/>
          <w:szCs w:val="22"/>
        </w:rPr>
        <w:t>Roscher</w:t>
      </w:r>
      <w:proofErr w:type="spellEnd"/>
      <w:r w:rsidRPr="002F0628">
        <w:rPr>
          <w:rFonts w:asciiTheme="minorHAnsi" w:hAnsiTheme="minorHAnsi"/>
          <w:color w:val="000000"/>
          <w:sz w:val="22"/>
          <w:szCs w:val="22"/>
        </w:rPr>
        <w:t xml:space="preserve">, R. </w:t>
      </w:r>
      <w:proofErr w:type="spellStart"/>
      <w:r w:rsidRPr="002F0628">
        <w:rPr>
          <w:rFonts w:asciiTheme="minorHAnsi" w:hAnsiTheme="minorHAnsi"/>
          <w:color w:val="000000"/>
          <w:sz w:val="22"/>
          <w:szCs w:val="22"/>
        </w:rPr>
        <w:t>Janko</w:t>
      </w:r>
      <w:proofErr w:type="spellEnd"/>
      <w:r w:rsidRPr="002F0628">
        <w:rPr>
          <w:rFonts w:asciiTheme="minorHAnsi" w:hAnsiTheme="minorHAnsi"/>
          <w:color w:val="000000"/>
          <w:sz w:val="22"/>
          <w:szCs w:val="22"/>
        </w:rPr>
        <w:t xml:space="preserve">, N.J. </w:t>
      </w:r>
      <w:proofErr w:type="spellStart"/>
      <w:r w:rsidRPr="002F0628">
        <w:rPr>
          <w:rFonts w:asciiTheme="minorHAnsi" w:hAnsiTheme="minorHAnsi"/>
          <w:color w:val="000000"/>
          <w:sz w:val="22"/>
          <w:szCs w:val="22"/>
        </w:rPr>
        <w:t>Richarson</w:t>
      </w:r>
      <w:proofErr w:type="spellEnd"/>
      <w:r w:rsidRPr="002F0628">
        <w:rPr>
          <w:rFonts w:asciiTheme="minorHAnsi" w:hAnsiTheme="minorHAnsi"/>
          <w:color w:val="000000"/>
          <w:sz w:val="22"/>
          <w:szCs w:val="22"/>
        </w:rPr>
        <w:t xml:space="preserve">, F. Graf, and most recently and emphatically, M.L. West, believe that the gods' immortality is strongly related to their divine diet, i.e. ambrosia and nectar. This notion is supported by four central arguments: 1. One instance in the Iliad (5.340-2) and one in Aristotle's Metaphysics (1000a9-13), which are understood as alluding to the fact that ambrosia and nectar are the cause of the gods' immortality. 2. Stories of gods who bestow immortality on </w:t>
      </w:r>
      <w:proofErr w:type="gramStart"/>
      <w:r w:rsidRPr="002F0628">
        <w:rPr>
          <w:rFonts w:asciiTheme="minorHAnsi" w:hAnsiTheme="minorHAnsi"/>
          <w:color w:val="000000"/>
          <w:sz w:val="22"/>
          <w:szCs w:val="22"/>
        </w:rPr>
        <w:t>their</w:t>
      </w:r>
      <w:proofErr w:type="gramEnd"/>
      <w:r w:rsidRPr="002F0628">
        <w:rPr>
          <w:rFonts w:asciiTheme="minorHAnsi" w:hAnsiTheme="minorHAnsi"/>
          <w:color w:val="000000"/>
          <w:sz w:val="22"/>
          <w:szCs w:val="22"/>
        </w:rPr>
        <w:t xml:space="preserve"> favored mortals using ambrosia and nectar (Pind.Pyth.9.62-4, Ol.1.59-64; Hymn.Hom.Cer.233-44; Hes.fr.23a.21-24 M-W). 3. Three cases in the Iliad in which ambrosia and nectar prevent the decay of corpses (16.670-70, 19.37-9, 23.184-7). 4. Etymological arguments positing a connection between 'immortality' and ambrosia and nectar.</w:t>
      </w:r>
    </w:p>
    <w:p w14:paraId="64F71C99"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In this paper I shall argue that the archaic evidence strongly suggests that this connection between ambrosia and nectar and the gods' immortality is highly overstated.</w:t>
      </w:r>
    </w:p>
    <w:p w14:paraId="7710F691"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As is well known, the motif of the god's immortality is one the most fruitful motifs in archaic literature, yet we cannot find even one explicit statement that the food of the gods is the source of their immortality. More importantly, unlike other Indo-European religions, in which the connection between gods' immortality and special aliments is manifested in various stories, the archaic sources provide no story resulting from this belief, e.g. a god becoming immortal or deprived of immortality by eating divine food or abstaining from it. On the other hand, there are stories in which divine food does not bestow immortality and its absence does not abolish it (e.g. Hes.Th.639-42; Hymn.Hom.Ven.257-272.) The weakness of this causal relationship is further supported by the notion that a union between gods will always result in an immortal offspring.</w:t>
      </w:r>
    </w:p>
    <w:p w14:paraId="525F50B2" w14:textId="60D00279"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276" w:lineRule="auto"/>
        <w:jc w:val="both"/>
        <w:rPr>
          <w:rFonts w:asciiTheme="minorHAnsi" w:eastAsia="Times New Roman" w:hAnsiTheme="minorHAnsi" w:cs="Times New Roman"/>
          <w:color w:val="000000"/>
          <w:sz w:val="22"/>
          <w:szCs w:val="22"/>
          <w:u w:color="000000"/>
        </w:rPr>
      </w:pPr>
      <w:r w:rsidRPr="002F0628">
        <w:rPr>
          <w:rFonts w:asciiTheme="minorHAnsi" w:hAnsiTheme="minorHAnsi"/>
          <w:color w:val="000000"/>
          <w:sz w:val="22"/>
          <w:szCs w:val="22"/>
        </w:rPr>
        <w:t>What, then, by archaic belief, is the cause of the god's immortality? Numerous stories in the archaic sources indicate that the ancient poets share one basic assumption: the gods are immortal in their very nature. The abundance of stories resulting from this belief stands in sharp contrast with the scarcity of stories depicting divine food as the cause of the gods' immortality. Thus it seems that we should turn the table: instead of arguing that divine immortality results from ambrosia and nectar, we should see the connection between the two as a marginal expression of the immortality motif, an expression which the poets do not tend to emphasize, alongside a far more dominant belief in the gods' innate immortality.</w:t>
      </w:r>
    </w:p>
    <w:p w14:paraId="2DA7A86A" w14:textId="77777777" w:rsidR="00E61644" w:rsidRPr="002F0628" w:rsidRDefault="00E61644" w:rsidP="00DD0D4A">
      <w:pPr>
        <w:spacing w:line="276" w:lineRule="auto"/>
        <w:jc w:val="both"/>
        <w:rPr>
          <w:rFonts w:asciiTheme="minorHAnsi" w:hAnsiTheme="minorHAnsi"/>
          <w:sz w:val="22"/>
          <w:szCs w:val="22"/>
        </w:rPr>
      </w:pPr>
    </w:p>
    <w:p w14:paraId="3C7E55AA" w14:textId="77777777" w:rsidR="00E61644" w:rsidRPr="002F0628" w:rsidRDefault="00E61644" w:rsidP="00DD0D4A">
      <w:pPr>
        <w:spacing w:line="276" w:lineRule="auto"/>
        <w:jc w:val="both"/>
        <w:rPr>
          <w:rFonts w:asciiTheme="minorHAnsi" w:hAnsiTheme="minorHAnsi"/>
          <w:sz w:val="22"/>
          <w:szCs w:val="22"/>
        </w:rPr>
      </w:pPr>
    </w:p>
    <w:p w14:paraId="78FB8680" w14:textId="15D06300" w:rsidR="00E61644" w:rsidRPr="002F0628" w:rsidRDefault="00B60261"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Pr>
          <w:rFonts w:asciiTheme="minorHAnsi" w:hAnsiTheme="minorHAnsi"/>
          <w:color w:val="000000"/>
          <w:sz w:val="22"/>
          <w:szCs w:val="22"/>
        </w:rPr>
        <w:t xml:space="preserve">Ariadne </w:t>
      </w:r>
      <w:proofErr w:type="spellStart"/>
      <w:r w:rsidR="00E61644" w:rsidRPr="002F0628">
        <w:rPr>
          <w:rFonts w:asciiTheme="minorHAnsi" w:hAnsiTheme="minorHAnsi"/>
          <w:color w:val="000000"/>
          <w:sz w:val="22"/>
          <w:szCs w:val="22"/>
        </w:rPr>
        <w:t>Konstantinou</w:t>
      </w:r>
      <w:proofErr w:type="spellEnd"/>
      <w:r>
        <w:rPr>
          <w:rFonts w:asciiTheme="minorHAnsi" w:hAnsiTheme="minorHAnsi"/>
          <w:color w:val="000000"/>
          <w:sz w:val="22"/>
          <w:szCs w:val="22"/>
        </w:rPr>
        <w:t xml:space="preserve"> </w:t>
      </w:r>
      <w:r w:rsidR="00E61644" w:rsidRPr="002F0628">
        <w:rPr>
          <w:rFonts w:asciiTheme="minorHAnsi" w:hAnsiTheme="minorHAnsi"/>
          <w:color w:val="000000"/>
          <w:sz w:val="22"/>
          <w:szCs w:val="22"/>
        </w:rPr>
        <w:t>(Tel-Aviv University)</w:t>
      </w:r>
    </w:p>
    <w:p w14:paraId="6463E265"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roofErr w:type="gramStart"/>
      <w:r w:rsidRPr="002F0628">
        <w:rPr>
          <w:rFonts w:asciiTheme="minorHAnsi" w:hAnsiTheme="minorHAnsi"/>
          <w:color w:val="000000"/>
          <w:sz w:val="22"/>
          <w:szCs w:val="22"/>
        </w:rPr>
        <w:t>ariadne</w:t>
      </w:r>
      <w:proofErr w:type="gramEnd"/>
      <w:r w:rsidRPr="002F0628">
        <w:rPr>
          <w:rFonts w:asciiTheme="minorHAnsi" w:hAnsiTheme="minorHAnsi"/>
          <w:color w:val="000000"/>
          <w:sz w:val="22"/>
          <w:szCs w:val="22"/>
        </w:rPr>
        <w:t>_kon@yahoo.com</w:t>
      </w:r>
    </w:p>
    <w:p w14:paraId="66F12D4E"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4D6409C3" w14:textId="6601B42C"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Pr>
      </w:pPr>
      <w:r w:rsidRPr="002F0628">
        <w:rPr>
          <w:rFonts w:asciiTheme="minorHAnsi" w:hAnsiTheme="minorHAnsi"/>
          <w:b/>
          <w:bCs/>
          <w:color w:val="000000"/>
          <w:sz w:val="22"/>
          <w:szCs w:val="22"/>
        </w:rPr>
        <w:lastRenderedPageBreak/>
        <w:t xml:space="preserve">Tradition and </w:t>
      </w:r>
      <w:r w:rsidR="00B60261">
        <w:rPr>
          <w:rFonts w:asciiTheme="minorHAnsi" w:hAnsiTheme="minorHAnsi"/>
          <w:b/>
          <w:bCs/>
          <w:color w:val="000000"/>
          <w:sz w:val="22"/>
          <w:szCs w:val="22"/>
        </w:rPr>
        <w:t>I</w:t>
      </w:r>
      <w:r w:rsidRPr="002F0628">
        <w:rPr>
          <w:rFonts w:asciiTheme="minorHAnsi" w:hAnsiTheme="minorHAnsi"/>
          <w:b/>
          <w:bCs/>
          <w:color w:val="000000"/>
          <w:sz w:val="22"/>
          <w:szCs w:val="22"/>
        </w:rPr>
        <w:t xml:space="preserve">nnovation in Greek </w:t>
      </w:r>
      <w:r w:rsidR="00B60261">
        <w:rPr>
          <w:rFonts w:asciiTheme="minorHAnsi" w:hAnsiTheme="minorHAnsi"/>
          <w:b/>
          <w:bCs/>
          <w:color w:val="000000"/>
          <w:sz w:val="22"/>
          <w:szCs w:val="22"/>
        </w:rPr>
        <w:t>T</w:t>
      </w:r>
      <w:r w:rsidRPr="002F0628">
        <w:rPr>
          <w:rFonts w:asciiTheme="minorHAnsi" w:hAnsiTheme="minorHAnsi"/>
          <w:b/>
          <w:bCs/>
          <w:color w:val="000000"/>
          <w:sz w:val="22"/>
          <w:szCs w:val="22"/>
        </w:rPr>
        <w:t>ragedy</w:t>
      </w:r>
      <w:r w:rsidRPr="002F0628">
        <w:rPr>
          <w:rFonts w:asciiTheme="minorHAnsi" w:hAnsiTheme="minorHAnsi"/>
          <w:b/>
          <w:bCs/>
          <w:color w:val="000000"/>
          <w:sz w:val="22"/>
          <w:szCs w:val="22"/>
          <w:lang w:val="fr-FR"/>
        </w:rPr>
        <w:t>’</w:t>
      </w:r>
      <w:r w:rsidRPr="002F0628">
        <w:rPr>
          <w:rFonts w:asciiTheme="minorHAnsi" w:hAnsiTheme="minorHAnsi"/>
          <w:b/>
          <w:bCs/>
          <w:color w:val="000000"/>
          <w:sz w:val="22"/>
          <w:szCs w:val="22"/>
        </w:rPr>
        <w:t xml:space="preserve">s </w:t>
      </w:r>
      <w:r w:rsidR="00B60261">
        <w:rPr>
          <w:rFonts w:asciiTheme="minorHAnsi" w:hAnsiTheme="minorHAnsi"/>
          <w:b/>
          <w:bCs/>
          <w:color w:val="000000"/>
          <w:sz w:val="22"/>
          <w:szCs w:val="22"/>
        </w:rPr>
        <w:t>M</w:t>
      </w:r>
      <w:r w:rsidRPr="002F0628">
        <w:rPr>
          <w:rFonts w:asciiTheme="minorHAnsi" w:hAnsiTheme="minorHAnsi"/>
          <w:b/>
          <w:bCs/>
          <w:color w:val="000000"/>
          <w:sz w:val="22"/>
          <w:szCs w:val="22"/>
        </w:rPr>
        <w:t xml:space="preserve">ythological </w:t>
      </w:r>
      <w:proofErr w:type="spellStart"/>
      <w:r w:rsidR="00B60261">
        <w:rPr>
          <w:rFonts w:asciiTheme="minorHAnsi" w:hAnsiTheme="minorHAnsi"/>
          <w:b/>
          <w:bCs/>
          <w:i/>
          <w:iCs/>
          <w:color w:val="000000"/>
          <w:sz w:val="22"/>
          <w:szCs w:val="22"/>
          <w:lang w:val="fr-FR"/>
        </w:rPr>
        <w:t>E</w:t>
      </w:r>
      <w:r w:rsidRPr="002F0628">
        <w:rPr>
          <w:rFonts w:asciiTheme="minorHAnsi" w:hAnsiTheme="minorHAnsi"/>
          <w:b/>
          <w:bCs/>
          <w:i/>
          <w:iCs/>
          <w:color w:val="000000"/>
          <w:sz w:val="22"/>
          <w:szCs w:val="22"/>
          <w:lang w:val="fr-FR"/>
        </w:rPr>
        <w:t>xempla</w:t>
      </w:r>
      <w:proofErr w:type="spellEnd"/>
    </w:p>
    <w:p w14:paraId="0F3429E7" w14:textId="7998CD2F"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Greek tragedy</w:t>
      </w:r>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mythological comparisons, commonly called mythological </w:t>
      </w:r>
      <w:proofErr w:type="spellStart"/>
      <w:r w:rsidRPr="002F0628">
        <w:rPr>
          <w:rFonts w:asciiTheme="minorHAnsi" w:hAnsiTheme="minorHAnsi"/>
          <w:i/>
          <w:iCs/>
          <w:color w:val="000000"/>
          <w:sz w:val="22"/>
          <w:szCs w:val="22"/>
          <w:lang w:val="fr-FR"/>
        </w:rPr>
        <w:t>exempla</w:t>
      </w:r>
      <w:proofErr w:type="spellEnd"/>
      <w:r w:rsidRPr="002F0628">
        <w:rPr>
          <w:rFonts w:asciiTheme="minorHAnsi" w:hAnsiTheme="minorHAnsi"/>
          <w:i/>
          <w:iCs/>
          <w:color w:val="000000"/>
          <w:sz w:val="22"/>
          <w:szCs w:val="22"/>
          <w:lang w:val="fr-FR"/>
        </w:rPr>
        <w:t xml:space="preserve"> </w:t>
      </w:r>
      <w:r w:rsidRPr="002F0628">
        <w:rPr>
          <w:rFonts w:asciiTheme="minorHAnsi" w:hAnsiTheme="minorHAnsi"/>
          <w:color w:val="000000"/>
          <w:sz w:val="22"/>
          <w:szCs w:val="22"/>
        </w:rPr>
        <w:t xml:space="preserve">or </w:t>
      </w:r>
      <w:proofErr w:type="spellStart"/>
      <w:r w:rsidRPr="002F0628">
        <w:rPr>
          <w:rFonts w:asciiTheme="minorHAnsi" w:hAnsiTheme="minorHAnsi"/>
          <w:i/>
          <w:iCs/>
          <w:color w:val="000000"/>
          <w:sz w:val="22"/>
          <w:szCs w:val="22"/>
          <w:lang w:val="pt-PT"/>
        </w:rPr>
        <w:t>paradeigmata</w:t>
      </w:r>
      <w:proofErr w:type="spellEnd"/>
      <w:r w:rsidRPr="002F0628">
        <w:rPr>
          <w:rFonts w:asciiTheme="minorHAnsi" w:hAnsiTheme="minorHAnsi"/>
          <w:color w:val="000000"/>
          <w:sz w:val="22"/>
          <w:szCs w:val="22"/>
        </w:rPr>
        <w:t>, are an indispensable source of information on otherwise poorly attested myths from the Classical period. They also form a coherent corpus to study how tragedians appropriate from mythical tradition, not in the larger scale of the plot—especially since the dramatization of myths in tragedy is a well-trodden field of study—but in the microcosm of rather brief and often elusive retellings, that focus on a specific point of comparison.</w:t>
      </w:r>
    </w:p>
    <w:p w14:paraId="5F382BE7"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In this paper, I argue that some mythological </w:t>
      </w:r>
      <w:proofErr w:type="spellStart"/>
      <w:r w:rsidRPr="002F0628">
        <w:rPr>
          <w:rFonts w:asciiTheme="minorHAnsi" w:hAnsiTheme="minorHAnsi"/>
          <w:i/>
          <w:iCs/>
          <w:color w:val="000000"/>
          <w:sz w:val="22"/>
          <w:szCs w:val="22"/>
          <w:lang w:val="fr-FR"/>
        </w:rPr>
        <w:t>exempla</w:t>
      </w:r>
      <w:proofErr w:type="spellEnd"/>
      <w:r w:rsidRPr="002F0628">
        <w:rPr>
          <w:rFonts w:asciiTheme="minorHAnsi" w:hAnsiTheme="minorHAnsi"/>
          <w:color w:val="000000"/>
          <w:sz w:val="22"/>
          <w:szCs w:val="22"/>
        </w:rPr>
        <w:t xml:space="preserve"> in tragedy contain innovative elements, in the sense that a certain mythological ‘fact</w:t>
      </w:r>
      <w:r w:rsidRPr="002F0628">
        <w:rPr>
          <w:rFonts w:asciiTheme="minorHAnsi" w:hAnsiTheme="minorHAnsi"/>
          <w:color w:val="000000"/>
          <w:sz w:val="22"/>
          <w:szCs w:val="22"/>
          <w:lang w:val="fr-FR"/>
        </w:rPr>
        <w:t xml:space="preserve">’ </w:t>
      </w:r>
      <w:r w:rsidRPr="002F0628">
        <w:rPr>
          <w:rFonts w:asciiTheme="minorHAnsi" w:hAnsiTheme="minorHAnsi"/>
          <w:color w:val="000000"/>
          <w:sz w:val="22"/>
          <w:szCs w:val="22"/>
        </w:rPr>
        <w:t xml:space="preserve">of the analogy is created ad hoc, particularly when the detail is unattested elsewhere or contains a close literary and thematic equivalence to the embedding myth. Particularly relevant to my discussion are the debates on tradition and innovation in epic mythological </w:t>
      </w:r>
      <w:proofErr w:type="spellStart"/>
      <w:r w:rsidRPr="002F0628">
        <w:rPr>
          <w:rFonts w:asciiTheme="minorHAnsi" w:hAnsiTheme="minorHAnsi"/>
          <w:i/>
          <w:iCs/>
          <w:color w:val="000000"/>
          <w:sz w:val="22"/>
          <w:szCs w:val="22"/>
          <w:lang w:val="fr-FR"/>
        </w:rPr>
        <w:t>exempla</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Willcock</w:t>
      </w:r>
      <w:proofErr w:type="spellEnd"/>
      <w:r w:rsidRPr="002F0628">
        <w:rPr>
          <w:rFonts w:asciiTheme="minorHAnsi" w:hAnsiTheme="minorHAnsi"/>
          <w:color w:val="000000"/>
          <w:sz w:val="22"/>
          <w:szCs w:val="22"/>
        </w:rPr>
        <w:t xml:space="preserve">, Nagy, </w:t>
      </w:r>
      <w:proofErr w:type="spellStart"/>
      <w:r w:rsidRPr="002F0628">
        <w:rPr>
          <w:rFonts w:asciiTheme="minorHAnsi" w:hAnsiTheme="minorHAnsi"/>
          <w:color w:val="000000"/>
          <w:sz w:val="22"/>
          <w:szCs w:val="22"/>
        </w:rPr>
        <w:t>Scodel</w:t>
      </w:r>
      <w:proofErr w:type="spellEnd"/>
      <w:r w:rsidRPr="002F0628">
        <w:rPr>
          <w:rFonts w:asciiTheme="minorHAnsi" w:hAnsiTheme="minorHAnsi"/>
          <w:color w:val="000000"/>
          <w:sz w:val="22"/>
          <w:szCs w:val="22"/>
        </w:rPr>
        <w:t>) and in lyric poetry (</w:t>
      </w:r>
      <w:proofErr w:type="spellStart"/>
      <w:r w:rsidRPr="002F0628">
        <w:rPr>
          <w:rFonts w:asciiTheme="minorHAnsi" w:hAnsiTheme="minorHAnsi"/>
          <w:color w:val="000000"/>
          <w:sz w:val="22"/>
          <w:szCs w:val="22"/>
        </w:rPr>
        <w:t>Köhnken</w:t>
      </w:r>
      <w:proofErr w:type="spellEnd"/>
      <w:r w:rsidRPr="002F0628">
        <w:rPr>
          <w:rFonts w:asciiTheme="minorHAnsi" w:hAnsiTheme="minorHAnsi"/>
          <w:color w:val="000000"/>
          <w:sz w:val="22"/>
          <w:szCs w:val="22"/>
        </w:rPr>
        <w:t xml:space="preserve">, Nagy, Collins, Edmunds), as well as the more recent debate on innovation in </w:t>
      </w:r>
      <w:proofErr w:type="spellStart"/>
      <w:r w:rsidRPr="002F0628">
        <w:rPr>
          <w:rFonts w:asciiTheme="minorHAnsi" w:hAnsiTheme="minorHAnsi"/>
          <w:color w:val="000000"/>
          <w:sz w:val="22"/>
          <w:szCs w:val="22"/>
        </w:rPr>
        <w:t>Euripidean</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aetiologies</w:t>
      </w:r>
      <w:proofErr w:type="spellEnd"/>
      <w:r w:rsidRPr="002F0628">
        <w:rPr>
          <w:rFonts w:asciiTheme="minorHAnsi" w:hAnsiTheme="minorHAnsi"/>
          <w:color w:val="000000"/>
          <w:sz w:val="22"/>
          <w:szCs w:val="22"/>
        </w:rPr>
        <w:t xml:space="preserve"> (Scullion, Seaford).</w:t>
      </w:r>
    </w:p>
    <w:p w14:paraId="08F92479"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I focus on innovative aspects in four mythological </w:t>
      </w:r>
      <w:proofErr w:type="spellStart"/>
      <w:r w:rsidRPr="002F0628">
        <w:rPr>
          <w:rFonts w:asciiTheme="minorHAnsi" w:hAnsiTheme="minorHAnsi"/>
          <w:i/>
          <w:iCs/>
          <w:color w:val="000000"/>
          <w:sz w:val="22"/>
          <w:szCs w:val="22"/>
          <w:lang w:val="fr-FR"/>
        </w:rPr>
        <w:t>exempla</w:t>
      </w:r>
      <w:proofErr w:type="spellEnd"/>
      <w:r w:rsidRPr="002F0628">
        <w:rPr>
          <w:rFonts w:asciiTheme="minorHAnsi" w:hAnsiTheme="minorHAnsi"/>
          <w:color w:val="000000"/>
          <w:sz w:val="22"/>
          <w:szCs w:val="22"/>
        </w:rPr>
        <w:t xml:space="preserve">. First, the reason that brought about </w:t>
      </w:r>
      <w:proofErr w:type="spellStart"/>
      <w:r w:rsidRPr="002F0628">
        <w:rPr>
          <w:rFonts w:asciiTheme="minorHAnsi" w:hAnsiTheme="minorHAnsi"/>
          <w:color w:val="000000"/>
          <w:sz w:val="22"/>
          <w:szCs w:val="22"/>
        </w:rPr>
        <w:t>Acteaon</w:t>
      </w:r>
      <w:proofErr w:type="spellEnd"/>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punishment (Eur. </w:t>
      </w:r>
      <w:proofErr w:type="spellStart"/>
      <w:r w:rsidRPr="002F0628">
        <w:rPr>
          <w:rFonts w:asciiTheme="minorHAnsi" w:hAnsiTheme="minorHAnsi"/>
          <w:i/>
          <w:iCs/>
          <w:color w:val="000000"/>
          <w:sz w:val="22"/>
          <w:szCs w:val="22"/>
        </w:rPr>
        <w:t>Bac</w:t>
      </w:r>
      <w:proofErr w:type="spellEnd"/>
      <w:r w:rsidRPr="002F0628">
        <w:rPr>
          <w:rFonts w:asciiTheme="minorHAnsi" w:hAnsiTheme="minorHAnsi"/>
          <w:color w:val="000000"/>
          <w:sz w:val="22"/>
          <w:szCs w:val="22"/>
        </w:rPr>
        <w:t xml:space="preserve">. 337-40); second, the detail that </w:t>
      </w:r>
      <w:proofErr w:type="spellStart"/>
      <w:r w:rsidRPr="002F0628">
        <w:rPr>
          <w:rFonts w:asciiTheme="minorHAnsi" w:hAnsiTheme="minorHAnsi"/>
          <w:color w:val="000000"/>
          <w:sz w:val="22"/>
          <w:szCs w:val="22"/>
        </w:rPr>
        <w:t>Ino</w:t>
      </w:r>
      <w:proofErr w:type="spellEnd"/>
      <w:r w:rsidRPr="002F0628">
        <w:rPr>
          <w:rFonts w:asciiTheme="minorHAnsi" w:hAnsiTheme="minorHAnsi"/>
          <w:color w:val="000000"/>
          <w:sz w:val="22"/>
          <w:szCs w:val="22"/>
        </w:rPr>
        <w:t xml:space="preserve"> killed both her children (Eur. </w:t>
      </w:r>
      <w:r w:rsidRPr="002F0628">
        <w:rPr>
          <w:rFonts w:asciiTheme="minorHAnsi" w:hAnsiTheme="minorHAnsi"/>
          <w:i/>
          <w:iCs/>
          <w:color w:val="000000"/>
          <w:sz w:val="22"/>
          <w:szCs w:val="22"/>
        </w:rPr>
        <w:t>Med</w:t>
      </w:r>
      <w:r w:rsidRPr="002F0628">
        <w:rPr>
          <w:rFonts w:asciiTheme="minorHAnsi" w:hAnsiTheme="minorHAnsi"/>
          <w:color w:val="000000"/>
          <w:sz w:val="22"/>
          <w:szCs w:val="22"/>
        </w:rPr>
        <w:t xml:space="preserve">. 1282-92); third, the transformation of </w:t>
      </w:r>
      <w:proofErr w:type="spellStart"/>
      <w:r w:rsidRPr="002F0628">
        <w:rPr>
          <w:rFonts w:asciiTheme="minorHAnsi" w:hAnsiTheme="minorHAnsi"/>
          <w:color w:val="000000"/>
          <w:sz w:val="22"/>
          <w:szCs w:val="22"/>
        </w:rPr>
        <w:t>Tereus</w:t>
      </w:r>
      <w:proofErr w:type="spellEnd"/>
      <w:r w:rsidRPr="002F0628">
        <w:rPr>
          <w:rFonts w:asciiTheme="minorHAnsi" w:hAnsiTheme="minorHAnsi"/>
          <w:color w:val="000000"/>
          <w:sz w:val="22"/>
          <w:szCs w:val="22"/>
        </w:rPr>
        <w:t xml:space="preserve"> into a hawk (</w:t>
      </w:r>
      <w:proofErr w:type="spellStart"/>
      <w:r w:rsidRPr="002F0628">
        <w:rPr>
          <w:rFonts w:asciiTheme="minorHAnsi" w:hAnsiTheme="minorHAnsi"/>
          <w:color w:val="000000"/>
          <w:sz w:val="22"/>
          <w:szCs w:val="22"/>
        </w:rPr>
        <w:t>Aes</w:t>
      </w:r>
      <w:proofErr w:type="spellEnd"/>
      <w:r w:rsidRPr="002F0628">
        <w:rPr>
          <w:rFonts w:asciiTheme="minorHAnsi" w:hAnsiTheme="minorHAnsi"/>
          <w:color w:val="000000"/>
          <w:sz w:val="22"/>
          <w:szCs w:val="22"/>
        </w:rPr>
        <w:t xml:space="preserve">. </w:t>
      </w:r>
      <w:r w:rsidRPr="002F0628">
        <w:rPr>
          <w:rFonts w:asciiTheme="minorHAnsi" w:hAnsiTheme="minorHAnsi"/>
          <w:i/>
          <w:iCs/>
          <w:color w:val="000000"/>
          <w:sz w:val="22"/>
          <w:szCs w:val="22"/>
        </w:rPr>
        <w:t>Suppl</w:t>
      </w:r>
      <w:r w:rsidRPr="002F0628">
        <w:rPr>
          <w:rFonts w:asciiTheme="minorHAnsi" w:hAnsiTheme="minorHAnsi"/>
          <w:color w:val="000000"/>
          <w:sz w:val="22"/>
          <w:szCs w:val="22"/>
        </w:rPr>
        <w:t>. 58-76)</w:t>
      </w:r>
      <w:proofErr w:type="gramStart"/>
      <w:r w:rsidRPr="002F0628">
        <w:rPr>
          <w:rFonts w:asciiTheme="minorHAnsi" w:hAnsiTheme="minorHAnsi"/>
          <w:color w:val="000000"/>
          <w:sz w:val="22"/>
          <w:szCs w:val="22"/>
        </w:rPr>
        <w:t>;</w:t>
      </w:r>
      <w:proofErr w:type="gramEnd"/>
      <w:r w:rsidRPr="002F0628">
        <w:rPr>
          <w:rFonts w:asciiTheme="minorHAnsi" w:hAnsiTheme="minorHAnsi"/>
          <w:color w:val="000000"/>
          <w:sz w:val="22"/>
          <w:szCs w:val="22"/>
        </w:rPr>
        <w:t xml:space="preserve"> and fourth, the agent responsible for the blinding of the </w:t>
      </w:r>
      <w:proofErr w:type="spellStart"/>
      <w:r w:rsidRPr="002F0628">
        <w:rPr>
          <w:rFonts w:asciiTheme="minorHAnsi" w:hAnsiTheme="minorHAnsi"/>
          <w:color w:val="000000"/>
          <w:sz w:val="22"/>
          <w:szCs w:val="22"/>
        </w:rPr>
        <w:t>Phineids</w:t>
      </w:r>
      <w:proofErr w:type="spellEnd"/>
      <w:r w:rsidRPr="002F0628">
        <w:rPr>
          <w:rFonts w:asciiTheme="minorHAnsi" w:hAnsiTheme="minorHAnsi"/>
          <w:color w:val="000000"/>
          <w:sz w:val="22"/>
          <w:szCs w:val="22"/>
        </w:rPr>
        <w:t xml:space="preserve"> (Soph. </w:t>
      </w:r>
      <w:r w:rsidRPr="002F0628">
        <w:rPr>
          <w:rFonts w:asciiTheme="minorHAnsi" w:hAnsiTheme="minorHAnsi"/>
          <w:i/>
          <w:iCs/>
          <w:color w:val="000000"/>
          <w:sz w:val="22"/>
          <w:szCs w:val="22"/>
        </w:rPr>
        <w:t>Ant</w:t>
      </w:r>
      <w:r w:rsidRPr="002F0628">
        <w:rPr>
          <w:rFonts w:asciiTheme="minorHAnsi" w:hAnsiTheme="minorHAnsi"/>
          <w:color w:val="000000"/>
          <w:sz w:val="22"/>
          <w:szCs w:val="22"/>
        </w:rPr>
        <w:t xml:space="preserve">. 966-87). While I do not think that every mythological </w:t>
      </w:r>
      <w:r w:rsidRPr="002F0628">
        <w:rPr>
          <w:rFonts w:asciiTheme="minorHAnsi" w:hAnsiTheme="minorHAnsi"/>
          <w:i/>
          <w:iCs/>
          <w:color w:val="000000"/>
          <w:sz w:val="22"/>
          <w:szCs w:val="22"/>
        </w:rPr>
        <w:t>exemplum</w:t>
      </w:r>
      <w:r w:rsidRPr="002F0628">
        <w:rPr>
          <w:rFonts w:asciiTheme="minorHAnsi" w:hAnsiTheme="minorHAnsi"/>
          <w:color w:val="000000"/>
          <w:sz w:val="22"/>
          <w:szCs w:val="22"/>
        </w:rPr>
        <w:t xml:space="preserve"> in tragedy is necessarily or inherently innovative in its details, I hope to show that innovation on the level of details, within a broadly traditional framework, was a possibility that all three tragedians explored in shaping the microcosm of comparisons that draw from the realm of myth.</w:t>
      </w:r>
    </w:p>
    <w:p w14:paraId="58F8EA7B"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w:t>
      </w:r>
    </w:p>
    <w:p w14:paraId="6048572F"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Select Bibliography</w:t>
      </w:r>
    </w:p>
    <w:p w14:paraId="5245927F"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B60261">
        <w:rPr>
          <w:rFonts w:asciiTheme="minorHAnsi" w:hAnsiTheme="minorHAnsi"/>
          <w:color w:val="000000"/>
          <w:sz w:val="16"/>
          <w:szCs w:val="22"/>
          <w:lang w:val="de-DE"/>
        </w:rPr>
        <w:t>Braswell</w:t>
      </w:r>
      <w:proofErr w:type="spellEnd"/>
      <w:r w:rsidRPr="00B60261">
        <w:rPr>
          <w:rFonts w:asciiTheme="minorHAnsi" w:hAnsiTheme="minorHAnsi"/>
          <w:color w:val="000000"/>
          <w:sz w:val="16"/>
          <w:szCs w:val="22"/>
          <w:lang w:val="de-DE"/>
        </w:rPr>
        <w:t xml:space="preserve">, B. K. (1971) </w:t>
      </w:r>
      <w:r w:rsidRPr="00B60261">
        <w:rPr>
          <w:rFonts w:asciiTheme="minorHAnsi" w:hAnsiTheme="minorHAnsi"/>
          <w:color w:val="000000"/>
          <w:sz w:val="16"/>
          <w:szCs w:val="22"/>
        </w:rPr>
        <w:t xml:space="preserve">“Mythological Innovation in the </w:t>
      </w:r>
      <w:proofErr w:type="spellStart"/>
      <w:r w:rsidRPr="00B60261">
        <w:rPr>
          <w:rFonts w:asciiTheme="minorHAnsi" w:hAnsiTheme="minorHAnsi"/>
          <w:i/>
          <w:iCs/>
          <w:color w:val="000000"/>
          <w:sz w:val="16"/>
          <w:szCs w:val="22"/>
          <w:lang w:val="fr-FR"/>
        </w:rPr>
        <w:t>Iliad</w:t>
      </w:r>
      <w:proofErr w:type="spellEnd"/>
      <w:r w:rsidRPr="00B60261">
        <w:rPr>
          <w:rFonts w:asciiTheme="minorHAnsi" w:hAnsiTheme="minorHAnsi"/>
          <w:color w:val="000000"/>
          <w:sz w:val="16"/>
          <w:szCs w:val="22"/>
        </w:rPr>
        <w:t xml:space="preserve">,” </w:t>
      </w:r>
      <w:r w:rsidRPr="00B60261">
        <w:rPr>
          <w:rFonts w:asciiTheme="minorHAnsi" w:hAnsiTheme="minorHAnsi"/>
          <w:i/>
          <w:iCs/>
          <w:color w:val="000000"/>
          <w:sz w:val="16"/>
          <w:szCs w:val="22"/>
        </w:rPr>
        <w:t>CQ</w:t>
      </w:r>
      <w:r w:rsidRPr="00B60261">
        <w:rPr>
          <w:rFonts w:asciiTheme="minorHAnsi" w:hAnsiTheme="minorHAnsi"/>
          <w:color w:val="000000"/>
          <w:sz w:val="16"/>
          <w:szCs w:val="22"/>
        </w:rPr>
        <w:t xml:space="preserve"> 21: 16-26.</w:t>
      </w:r>
    </w:p>
    <w:p w14:paraId="5211E59B"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B60261">
        <w:rPr>
          <w:rFonts w:asciiTheme="minorHAnsi" w:hAnsiTheme="minorHAnsi"/>
          <w:color w:val="000000"/>
          <w:sz w:val="16"/>
          <w:szCs w:val="22"/>
        </w:rPr>
        <w:t>Burian</w:t>
      </w:r>
      <w:proofErr w:type="spellEnd"/>
      <w:r w:rsidRPr="00B60261">
        <w:rPr>
          <w:rFonts w:asciiTheme="minorHAnsi" w:hAnsiTheme="minorHAnsi"/>
          <w:color w:val="000000"/>
          <w:sz w:val="16"/>
          <w:szCs w:val="22"/>
        </w:rPr>
        <w:t xml:space="preserve">, P. (1997) “Myth into </w:t>
      </w:r>
      <w:proofErr w:type="spellStart"/>
      <w:r w:rsidRPr="00B60261">
        <w:rPr>
          <w:rFonts w:asciiTheme="minorHAnsi" w:hAnsiTheme="minorHAnsi"/>
          <w:i/>
          <w:iCs/>
          <w:color w:val="000000"/>
          <w:sz w:val="16"/>
          <w:szCs w:val="22"/>
        </w:rPr>
        <w:t>muthos</w:t>
      </w:r>
      <w:proofErr w:type="spellEnd"/>
      <w:r w:rsidRPr="00B60261">
        <w:rPr>
          <w:rFonts w:asciiTheme="minorHAnsi" w:hAnsiTheme="minorHAnsi"/>
          <w:color w:val="000000"/>
          <w:sz w:val="16"/>
          <w:szCs w:val="22"/>
        </w:rPr>
        <w:t xml:space="preserve">: The shaping of tragic plot,” in </w:t>
      </w:r>
      <w:r w:rsidRPr="00B60261">
        <w:rPr>
          <w:rFonts w:asciiTheme="minorHAnsi" w:hAnsiTheme="minorHAnsi"/>
          <w:i/>
          <w:iCs/>
          <w:color w:val="000000"/>
          <w:sz w:val="16"/>
          <w:szCs w:val="22"/>
        </w:rPr>
        <w:t>The Cambridge Companion to Greek Tragedy</w:t>
      </w:r>
      <w:r w:rsidRPr="00B60261">
        <w:rPr>
          <w:rFonts w:asciiTheme="minorHAnsi" w:hAnsiTheme="minorHAnsi"/>
          <w:color w:val="000000"/>
          <w:sz w:val="16"/>
          <w:szCs w:val="22"/>
        </w:rPr>
        <w:t xml:space="preserve">, ed. P. E. </w:t>
      </w:r>
      <w:proofErr w:type="spellStart"/>
      <w:r w:rsidRPr="00B60261">
        <w:rPr>
          <w:rFonts w:asciiTheme="minorHAnsi" w:hAnsiTheme="minorHAnsi"/>
          <w:color w:val="000000"/>
          <w:sz w:val="16"/>
          <w:szCs w:val="22"/>
        </w:rPr>
        <w:t>Easterling</w:t>
      </w:r>
      <w:proofErr w:type="spellEnd"/>
      <w:r w:rsidRPr="00B60261">
        <w:rPr>
          <w:rFonts w:asciiTheme="minorHAnsi" w:hAnsiTheme="minorHAnsi"/>
          <w:color w:val="000000"/>
          <w:sz w:val="16"/>
          <w:szCs w:val="22"/>
        </w:rPr>
        <w:t>. Cambridge: 178-208.</w:t>
      </w:r>
    </w:p>
    <w:p w14:paraId="13A2527D"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B60261">
        <w:rPr>
          <w:rFonts w:asciiTheme="minorHAnsi" w:hAnsiTheme="minorHAnsi"/>
          <w:color w:val="000000"/>
          <w:sz w:val="16"/>
          <w:szCs w:val="22"/>
        </w:rPr>
        <w:t>Collins, D. (2006) “</w:t>
      </w:r>
      <w:proofErr w:type="spellStart"/>
      <w:r w:rsidRPr="00B60261">
        <w:rPr>
          <w:rFonts w:asciiTheme="minorHAnsi" w:hAnsiTheme="minorHAnsi"/>
          <w:color w:val="000000"/>
          <w:sz w:val="16"/>
          <w:szCs w:val="22"/>
        </w:rPr>
        <w:t>Corinna</w:t>
      </w:r>
      <w:proofErr w:type="spellEnd"/>
      <w:r w:rsidRPr="00B60261">
        <w:rPr>
          <w:rFonts w:asciiTheme="minorHAnsi" w:hAnsiTheme="minorHAnsi"/>
          <w:color w:val="000000"/>
          <w:sz w:val="16"/>
          <w:szCs w:val="22"/>
        </w:rPr>
        <w:t xml:space="preserve"> and Mythological Innovation,” </w:t>
      </w:r>
      <w:r w:rsidRPr="00B60261">
        <w:rPr>
          <w:rFonts w:asciiTheme="minorHAnsi" w:hAnsiTheme="minorHAnsi"/>
          <w:i/>
          <w:iCs/>
          <w:color w:val="000000"/>
          <w:sz w:val="16"/>
          <w:szCs w:val="22"/>
        </w:rPr>
        <w:t>CQ</w:t>
      </w:r>
      <w:r w:rsidRPr="00B60261">
        <w:rPr>
          <w:rFonts w:asciiTheme="minorHAnsi" w:hAnsiTheme="minorHAnsi"/>
          <w:color w:val="000000"/>
          <w:sz w:val="16"/>
          <w:szCs w:val="22"/>
        </w:rPr>
        <w:t xml:space="preserve"> 56: 19-32.</w:t>
      </w:r>
    </w:p>
    <w:p w14:paraId="55433D75"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B60261">
        <w:rPr>
          <w:rFonts w:asciiTheme="minorHAnsi" w:hAnsiTheme="minorHAnsi"/>
          <w:color w:val="000000"/>
          <w:sz w:val="16"/>
          <w:szCs w:val="22"/>
        </w:rPr>
        <w:t>Edmunds, L. (2009) “</w:t>
      </w:r>
      <w:proofErr w:type="spellStart"/>
      <w:r w:rsidRPr="00B60261">
        <w:rPr>
          <w:rFonts w:asciiTheme="minorHAnsi" w:hAnsiTheme="minorHAnsi"/>
          <w:color w:val="000000"/>
          <w:sz w:val="16"/>
          <w:szCs w:val="22"/>
        </w:rPr>
        <w:t>Tithonus</w:t>
      </w:r>
      <w:proofErr w:type="spellEnd"/>
      <w:r w:rsidRPr="00B60261">
        <w:rPr>
          <w:rFonts w:asciiTheme="minorHAnsi" w:hAnsiTheme="minorHAnsi"/>
          <w:color w:val="000000"/>
          <w:sz w:val="16"/>
          <w:szCs w:val="22"/>
        </w:rPr>
        <w:t xml:space="preserve"> in the ‘New Sappho</w:t>
      </w:r>
      <w:r w:rsidRPr="00B60261">
        <w:rPr>
          <w:rFonts w:asciiTheme="minorHAnsi" w:hAnsiTheme="minorHAnsi"/>
          <w:color w:val="000000"/>
          <w:sz w:val="16"/>
          <w:szCs w:val="22"/>
          <w:lang w:val="fr-FR"/>
        </w:rPr>
        <w:t xml:space="preserve">’ </w:t>
      </w:r>
      <w:r w:rsidRPr="00B60261">
        <w:rPr>
          <w:rFonts w:asciiTheme="minorHAnsi" w:hAnsiTheme="minorHAnsi"/>
          <w:color w:val="000000"/>
          <w:sz w:val="16"/>
          <w:szCs w:val="22"/>
        </w:rPr>
        <w:t xml:space="preserve">and the Narrated Mythical </w:t>
      </w:r>
      <w:r w:rsidRPr="00B60261">
        <w:rPr>
          <w:rFonts w:asciiTheme="minorHAnsi" w:hAnsiTheme="minorHAnsi"/>
          <w:i/>
          <w:iCs/>
          <w:color w:val="000000"/>
          <w:sz w:val="16"/>
          <w:szCs w:val="22"/>
        </w:rPr>
        <w:t>Exemplum</w:t>
      </w:r>
      <w:r w:rsidRPr="00B60261">
        <w:rPr>
          <w:rFonts w:asciiTheme="minorHAnsi" w:hAnsiTheme="minorHAnsi"/>
          <w:color w:val="000000"/>
          <w:sz w:val="16"/>
          <w:szCs w:val="22"/>
        </w:rPr>
        <w:t xml:space="preserve"> in Archaic Greek Poetry,” in </w:t>
      </w:r>
      <w:r w:rsidRPr="00B60261">
        <w:rPr>
          <w:rFonts w:asciiTheme="minorHAnsi" w:hAnsiTheme="minorHAnsi"/>
          <w:i/>
          <w:iCs/>
          <w:color w:val="000000"/>
          <w:sz w:val="16"/>
          <w:szCs w:val="22"/>
        </w:rPr>
        <w:t>The New Sappho on Old Age: Textual and Philosophical Issues</w:t>
      </w:r>
      <w:r w:rsidRPr="00B60261">
        <w:rPr>
          <w:rFonts w:asciiTheme="minorHAnsi" w:hAnsiTheme="minorHAnsi"/>
          <w:color w:val="000000"/>
          <w:sz w:val="16"/>
          <w:szCs w:val="22"/>
        </w:rPr>
        <w:t xml:space="preserve">, </w:t>
      </w:r>
      <w:proofErr w:type="spellStart"/>
      <w:proofErr w:type="gramStart"/>
      <w:r w:rsidRPr="00B60261">
        <w:rPr>
          <w:rFonts w:asciiTheme="minorHAnsi" w:hAnsiTheme="minorHAnsi"/>
          <w:color w:val="000000"/>
          <w:sz w:val="16"/>
          <w:szCs w:val="22"/>
        </w:rPr>
        <w:t>eds</w:t>
      </w:r>
      <w:proofErr w:type="spellEnd"/>
      <w:proofErr w:type="gramEnd"/>
      <w:r w:rsidRPr="00B60261">
        <w:rPr>
          <w:rFonts w:asciiTheme="minorHAnsi" w:hAnsiTheme="minorHAnsi"/>
          <w:color w:val="000000"/>
          <w:sz w:val="16"/>
          <w:szCs w:val="22"/>
        </w:rPr>
        <w:t xml:space="preserve"> E. Greene and M.B. Skinner. Washington: 58-70.</w:t>
      </w:r>
    </w:p>
    <w:p w14:paraId="0F998640"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B60261">
        <w:rPr>
          <w:rFonts w:asciiTheme="minorHAnsi" w:hAnsiTheme="minorHAnsi"/>
          <w:color w:val="000000"/>
          <w:sz w:val="16"/>
          <w:szCs w:val="22"/>
        </w:rPr>
        <w:t>Köhnken</w:t>
      </w:r>
      <w:proofErr w:type="spellEnd"/>
      <w:r w:rsidRPr="00B60261">
        <w:rPr>
          <w:rFonts w:asciiTheme="minorHAnsi" w:hAnsiTheme="minorHAnsi"/>
          <w:color w:val="000000"/>
          <w:sz w:val="16"/>
          <w:szCs w:val="22"/>
        </w:rPr>
        <w:t xml:space="preserve">, A. (1974) “Pindar as Innovator: Poseidon </w:t>
      </w:r>
      <w:proofErr w:type="spellStart"/>
      <w:r w:rsidRPr="00B60261">
        <w:rPr>
          <w:rFonts w:asciiTheme="minorHAnsi" w:hAnsiTheme="minorHAnsi"/>
          <w:color w:val="000000"/>
          <w:sz w:val="16"/>
          <w:szCs w:val="22"/>
        </w:rPr>
        <w:t>Hippios</w:t>
      </w:r>
      <w:proofErr w:type="spellEnd"/>
      <w:r w:rsidRPr="00B60261">
        <w:rPr>
          <w:rFonts w:asciiTheme="minorHAnsi" w:hAnsiTheme="minorHAnsi"/>
          <w:color w:val="000000"/>
          <w:sz w:val="16"/>
          <w:szCs w:val="22"/>
        </w:rPr>
        <w:t xml:space="preserve"> and the Relevance of the </w:t>
      </w:r>
      <w:proofErr w:type="spellStart"/>
      <w:r w:rsidRPr="00B60261">
        <w:rPr>
          <w:rFonts w:asciiTheme="minorHAnsi" w:hAnsiTheme="minorHAnsi"/>
          <w:color w:val="000000"/>
          <w:sz w:val="16"/>
          <w:szCs w:val="22"/>
        </w:rPr>
        <w:t>Pelops</w:t>
      </w:r>
      <w:proofErr w:type="spellEnd"/>
      <w:r w:rsidRPr="00B60261">
        <w:rPr>
          <w:rFonts w:asciiTheme="minorHAnsi" w:hAnsiTheme="minorHAnsi"/>
          <w:color w:val="000000"/>
          <w:sz w:val="16"/>
          <w:szCs w:val="22"/>
        </w:rPr>
        <w:t xml:space="preserve"> Story in Olympian 1,” </w:t>
      </w:r>
      <w:r w:rsidRPr="00B60261">
        <w:rPr>
          <w:rFonts w:asciiTheme="minorHAnsi" w:hAnsiTheme="minorHAnsi"/>
          <w:i/>
          <w:iCs/>
          <w:color w:val="000000"/>
          <w:sz w:val="16"/>
          <w:szCs w:val="22"/>
        </w:rPr>
        <w:t>CQ</w:t>
      </w:r>
      <w:r w:rsidRPr="00B60261">
        <w:rPr>
          <w:rFonts w:asciiTheme="minorHAnsi" w:hAnsiTheme="minorHAnsi"/>
          <w:color w:val="000000"/>
          <w:sz w:val="16"/>
          <w:szCs w:val="22"/>
        </w:rPr>
        <w:t xml:space="preserve"> 24: 199-206.</w:t>
      </w:r>
    </w:p>
    <w:p w14:paraId="0FC00970"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B60261">
        <w:rPr>
          <w:rFonts w:asciiTheme="minorHAnsi" w:hAnsiTheme="minorHAnsi"/>
          <w:color w:val="000000"/>
          <w:sz w:val="16"/>
          <w:szCs w:val="22"/>
        </w:rPr>
        <w:t>Nagy, G. (1986) “Pindar</w:t>
      </w:r>
      <w:r w:rsidRPr="00B60261">
        <w:rPr>
          <w:rFonts w:asciiTheme="minorHAnsi" w:hAnsiTheme="minorHAnsi"/>
          <w:color w:val="000000"/>
          <w:sz w:val="16"/>
          <w:szCs w:val="22"/>
          <w:lang w:val="fr-FR"/>
        </w:rPr>
        <w:t>’</w:t>
      </w:r>
      <w:r w:rsidRPr="00B60261">
        <w:rPr>
          <w:rFonts w:asciiTheme="minorHAnsi" w:hAnsiTheme="minorHAnsi"/>
          <w:color w:val="000000"/>
          <w:sz w:val="16"/>
          <w:szCs w:val="22"/>
        </w:rPr>
        <w:t xml:space="preserve">s Olympian 1 and the </w:t>
      </w:r>
      <w:proofErr w:type="spellStart"/>
      <w:r w:rsidRPr="00B60261">
        <w:rPr>
          <w:rFonts w:asciiTheme="minorHAnsi" w:hAnsiTheme="minorHAnsi"/>
          <w:color w:val="000000"/>
          <w:sz w:val="16"/>
          <w:szCs w:val="22"/>
        </w:rPr>
        <w:t>Aetiology</w:t>
      </w:r>
      <w:proofErr w:type="spellEnd"/>
      <w:r w:rsidRPr="00B60261">
        <w:rPr>
          <w:rFonts w:asciiTheme="minorHAnsi" w:hAnsiTheme="minorHAnsi"/>
          <w:color w:val="000000"/>
          <w:sz w:val="16"/>
          <w:szCs w:val="22"/>
        </w:rPr>
        <w:t xml:space="preserve"> of the Olympic Games,” </w:t>
      </w:r>
      <w:proofErr w:type="spellStart"/>
      <w:r w:rsidRPr="00B60261">
        <w:rPr>
          <w:rFonts w:asciiTheme="minorHAnsi" w:hAnsiTheme="minorHAnsi"/>
          <w:i/>
          <w:iCs/>
          <w:color w:val="000000"/>
          <w:sz w:val="16"/>
          <w:szCs w:val="22"/>
        </w:rPr>
        <w:t>TAPhA</w:t>
      </w:r>
      <w:proofErr w:type="spellEnd"/>
      <w:r w:rsidRPr="00B60261">
        <w:rPr>
          <w:rFonts w:asciiTheme="minorHAnsi" w:hAnsiTheme="minorHAnsi"/>
          <w:color w:val="000000"/>
          <w:sz w:val="16"/>
          <w:szCs w:val="22"/>
        </w:rPr>
        <w:t xml:space="preserve"> 116: 71-88.</w:t>
      </w:r>
    </w:p>
    <w:p w14:paraId="5536CC67"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B60261">
        <w:rPr>
          <w:rFonts w:asciiTheme="minorHAnsi" w:hAnsiTheme="minorHAnsi"/>
          <w:color w:val="000000"/>
          <w:sz w:val="16"/>
          <w:szCs w:val="22"/>
        </w:rPr>
        <w:t xml:space="preserve">Nagy, G. (1992) “Mythological </w:t>
      </w:r>
      <w:r w:rsidRPr="00B60261">
        <w:rPr>
          <w:rFonts w:asciiTheme="minorHAnsi" w:hAnsiTheme="minorHAnsi"/>
          <w:i/>
          <w:iCs/>
          <w:color w:val="000000"/>
          <w:sz w:val="16"/>
          <w:szCs w:val="22"/>
        </w:rPr>
        <w:t>Exemplum</w:t>
      </w:r>
      <w:r w:rsidRPr="00B60261">
        <w:rPr>
          <w:rFonts w:asciiTheme="minorHAnsi" w:hAnsiTheme="minorHAnsi"/>
          <w:color w:val="000000"/>
          <w:sz w:val="16"/>
          <w:szCs w:val="22"/>
        </w:rPr>
        <w:t xml:space="preserve"> in Homer,” in </w:t>
      </w:r>
      <w:r w:rsidRPr="00B60261">
        <w:rPr>
          <w:rFonts w:asciiTheme="minorHAnsi" w:hAnsiTheme="minorHAnsi"/>
          <w:i/>
          <w:iCs/>
          <w:color w:val="000000"/>
          <w:sz w:val="16"/>
          <w:szCs w:val="22"/>
        </w:rPr>
        <w:t>Innovations of Antiquity</w:t>
      </w:r>
      <w:r w:rsidRPr="00B60261">
        <w:rPr>
          <w:rFonts w:asciiTheme="minorHAnsi" w:hAnsiTheme="minorHAnsi"/>
          <w:color w:val="000000"/>
          <w:sz w:val="16"/>
          <w:szCs w:val="22"/>
        </w:rPr>
        <w:t xml:space="preserve">, </w:t>
      </w:r>
      <w:proofErr w:type="gramStart"/>
      <w:r w:rsidRPr="00B60261">
        <w:rPr>
          <w:rFonts w:asciiTheme="minorHAnsi" w:hAnsiTheme="minorHAnsi"/>
          <w:color w:val="000000"/>
          <w:sz w:val="16"/>
          <w:szCs w:val="22"/>
        </w:rPr>
        <w:t>eds</w:t>
      </w:r>
      <w:proofErr w:type="gramEnd"/>
      <w:r w:rsidRPr="00B60261">
        <w:rPr>
          <w:rFonts w:asciiTheme="minorHAnsi" w:hAnsiTheme="minorHAnsi"/>
          <w:color w:val="000000"/>
          <w:sz w:val="16"/>
          <w:szCs w:val="22"/>
        </w:rPr>
        <w:t xml:space="preserve">. R. </w:t>
      </w:r>
      <w:proofErr w:type="spellStart"/>
      <w:r w:rsidRPr="00B60261">
        <w:rPr>
          <w:rFonts w:asciiTheme="minorHAnsi" w:hAnsiTheme="minorHAnsi"/>
          <w:color w:val="000000"/>
          <w:sz w:val="16"/>
          <w:szCs w:val="22"/>
        </w:rPr>
        <w:t>Hexter</w:t>
      </w:r>
      <w:proofErr w:type="spellEnd"/>
      <w:r w:rsidRPr="00B60261">
        <w:rPr>
          <w:rFonts w:asciiTheme="minorHAnsi" w:hAnsiTheme="minorHAnsi"/>
          <w:color w:val="000000"/>
          <w:sz w:val="16"/>
          <w:szCs w:val="22"/>
        </w:rPr>
        <w:t xml:space="preserve"> and D. Selden. New York and London: 311-31.</w:t>
      </w:r>
    </w:p>
    <w:p w14:paraId="324C6688"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proofErr w:type="gramStart"/>
      <w:r w:rsidRPr="00B60261">
        <w:rPr>
          <w:rFonts w:asciiTheme="minorHAnsi" w:hAnsiTheme="minorHAnsi"/>
          <w:color w:val="000000"/>
          <w:sz w:val="16"/>
          <w:szCs w:val="22"/>
        </w:rPr>
        <w:t>Oehler</w:t>
      </w:r>
      <w:proofErr w:type="spellEnd"/>
      <w:r w:rsidRPr="00B60261">
        <w:rPr>
          <w:rFonts w:asciiTheme="minorHAnsi" w:hAnsiTheme="minorHAnsi"/>
          <w:color w:val="000000"/>
          <w:sz w:val="16"/>
          <w:szCs w:val="22"/>
        </w:rPr>
        <w:t xml:space="preserve">, R. (1925) </w:t>
      </w:r>
      <w:r w:rsidRPr="00B60261">
        <w:rPr>
          <w:rFonts w:asciiTheme="minorHAnsi" w:hAnsiTheme="minorHAnsi"/>
          <w:i/>
          <w:iCs/>
          <w:color w:val="000000"/>
          <w:sz w:val="16"/>
          <w:szCs w:val="22"/>
          <w:lang w:val="de-DE"/>
        </w:rPr>
        <w:t xml:space="preserve">Mythologische </w:t>
      </w:r>
      <w:proofErr w:type="spellStart"/>
      <w:r w:rsidRPr="00B60261">
        <w:rPr>
          <w:rFonts w:asciiTheme="minorHAnsi" w:hAnsiTheme="minorHAnsi"/>
          <w:i/>
          <w:iCs/>
          <w:color w:val="000000"/>
          <w:sz w:val="16"/>
          <w:szCs w:val="22"/>
          <w:lang w:val="de-DE"/>
        </w:rPr>
        <w:t>Exempla</w:t>
      </w:r>
      <w:proofErr w:type="spellEnd"/>
      <w:r w:rsidRPr="00B60261">
        <w:rPr>
          <w:rFonts w:asciiTheme="minorHAnsi" w:hAnsiTheme="minorHAnsi"/>
          <w:i/>
          <w:iCs/>
          <w:color w:val="000000"/>
          <w:sz w:val="16"/>
          <w:szCs w:val="22"/>
          <w:lang w:val="de-DE"/>
        </w:rPr>
        <w:t xml:space="preserve"> in der </w:t>
      </w:r>
      <w:r w:rsidRPr="00B60261">
        <w:rPr>
          <w:rFonts w:asciiTheme="minorHAnsi" w:hAnsiTheme="minorHAnsi"/>
          <w:i/>
          <w:iCs/>
          <w:color w:val="000000"/>
          <w:sz w:val="16"/>
          <w:szCs w:val="22"/>
        </w:rPr>
        <w:t>ä</w:t>
      </w:r>
      <w:proofErr w:type="spellStart"/>
      <w:r w:rsidRPr="00B60261">
        <w:rPr>
          <w:rFonts w:asciiTheme="minorHAnsi" w:hAnsiTheme="minorHAnsi"/>
          <w:i/>
          <w:iCs/>
          <w:color w:val="000000"/>
          <w:sz w:val="16"/>
          <w:szCs w:val="22"/>
          <w:lang w:val="de-DE"/>
        </w:rPr>
        <w:t>lteren</w:t>
      </w:r>
      <w:proofErr w:type="spellEnd"/>
      <w:r w:rsidRPr="00B60261">
        <w:rPr>
          <w:rFonts w:asciiTheme="minorHAnsi" w:hAnsiTheme="minorHAnsi"/>
          <w:i/>
          <w:iCs/>
          <w:color w:val="000000"/>
          <w:sz w:val="16"/>
          <w:szCs w:val="22"/>
          <w:lang w:val="de-DE"/>
        </w:rPr>
        <w:t xml:space="preserve"> griechischen Dichtung</w:t>
      </w:r>
      <w:r w:rsidRPr="00B60261">
        <w:rPr>
          <w:rFonts w:asciiTheme="minorHAnsi" w:hAnsiTheme="minorHAnsi"/>
          <w:color w:val="000000"/>
          <w:sz w:val="16"/>
          <w:szCs w:val="22"/>
        </w:rPr>
        <w:t>.</w:t>
      </w:r>
      <w:proofErr w:type="gramEnd"/>
      <w:r w:rsidRPr="00B60261">
        <w:rPr>
          <w:rFonts w:asciiTheme="minorHAnsi" w:hAnsiTheme="minorHAnsi"/>
          <w:color w:val="000000"/>
          <w:sz w:val="16"/>
          <w:szCs w:val="22"/>
        </w:rPr>
        <w:t xml:space="preserve"> </w:t>
      </w:r>
      <w:proofErr w:type="spellStart"/>
      <w:r w:rsidRPr="00B60261">
        <w:rPr>
          <w:rFonts w:asciiTheme="minorHAnsi" w:hAnsiTheme="minorHAnsi"/>
          <w:color w:val="000000"/>
          <w:sz w:val="16"/>
          <w:szCs w:val="22"/>
        </w:rPr>
        <w:t>Aarau</w:t>
      </w:r>
      <w:proofErr w:type="spellEnd"/>
      <w:r w:rsidRPr="00B60261">
        <w:rPr>
          <w:rFonts w:asciiTheme="minorHAnsi" w:hAnsiTheme="minorHAnsi"/>
          <w:color w:val="000000"/>
          <w:sz w:val="16"/>
          <w:szCs w:val="22"/>
        </w:rPr>
        <w:t>. (Diss. Basel)</w:t>
      </w:r>
    </w:p>
    <w:p w14:paraId="38064473"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B60261">
        <w:rPr>
          <w:rFonts w:asciiTheme="minorHAnsi" w:hAnsiTheme="minorHAnsi"/>
          <w:color w:val="000000"/>
          <w:sz w:val="16"/>
          <w:szCs w:val="22"/>
        </w:rPr>
        <w:t>Scodel</w:t>
      </w:r>
      <w:proofErr w:type="spellEnd"/>
      <w:r w:rsidRPr="00B60261">
        <w:rPr>
          <w:rFonts w:asciiTheme="minorHAnsi" w:hAnsiTheme="minorHAnsi"/>
          <w:color w:val="000000"/>
          <w:sz w:val="16"/>
          <w:szCs w:val="22"/>
        </w:rPr>
        <w:t xml:space="preserve">, R. (2002) </w:t>
      </w:r>
      <w:r w:rsidRPr="00B60261">
        <w:rPr>
          <w:rFonts w:asciiTheme="minorHAnsi" w:hAnsiTheme="minorHAnsi"/>
          <w:i/>
          <w:iCs/>
          <w:color w:val="000000"/>
          <w:sz w:val="16"/>
          <w:szCs w:val="22"/>
        </w:rPr>
        <w:t>Listening to Homer: Tradition, Narrative, and Audience</w:t>
      </w:r>
      <w:r w:rsidRPr="00B60261">
        <w:rPr>
          <w:rFonts w:asciiTheme="minorHAnsi" w:hAnsiTheme="minorHAnsi"/>
          <w:color w:val="000000"/>
          <w:sz w:val="16"/>
          <w:szCs w:val="22"/>
          <w:lang w:val="de-DE"/>
        </w:rPr>
        <w:t>. Ann Arbor.</w:t>
      </w:r>
    </w:p>
    <w:p w14:paraId="637CCFD5"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B60261">
        <w:rPr>
          <w:rFonts w:asciiTheme="minorHAnsi" w:hAnsiTheme="minorHAnsi"/>
          <w:color w:val="000000"/>
          <w:sz w:val="16"/>
          <w:szCs w:val="22"/>
        </w:rPr>
        <w:t xml:space="preserve">Scullion, S. (1999/2000) “Tradition and Invention in </w:t>
      </w:r>
      <w:proofErr w:type="spellStart"/>
      <w:r w:rsidRPr="00B60261">
        <w:rPr>
          <w:rFonts w:asciiTheme="minorHAnsi" w:hAnsiTheme="minorHAnsi"/>
          <w:color w:val="000000"/>
          <w:sz w:val="16"/>
          <w:szCs w:val="22"/>
        </w:rPr>
        <w:t>Euripidean</w:t>
      </w:r>
      <w:proofErr w:type="spellEnd"/>
      <w:r w:rsidRPr="00B60261">
        <w:rPr>
          <w:rFonts w:asciiTheme="minorHAnsi" w:hAnsiTheme="minorHAnsi"/>
          <w:color w:val="000000"/>
          <w:sz w:val="16"/>
          <w:szCs w:val="22"/>
        </w:rPr>
        <w:t xml:space="preserve"> </w:t>
      </w:r>
      <w:proofErr w:type="spellStart"/>
      <w:r w:rsidRPr="00B60261">
        <w:rPr>
          <w:rFonts w:asciiTheme="minorHAnsi" w:hAnsiTheme="minorHAnsi"/>
          <w:color w:val="000000"/>
          <w:sz w:val="16"/>
          <w:szCs w:val="22"/>
        </w:rPr>
        <w:t>Aitiology</w:t>
      </w:r>
      <w:proofErr w:type="spellEnd"/>
      <w:r w:rsidRPr="00B60261">
        <w:rPr>
          <w:rFonts w:asciiTheme="minorHAnsi" w:hAnsiTheme="minorHAnsi"/>
          <w:color w:val="000000"/>
          <w:sz w:val="16"/>
          <w:szCs w:val="22"/>
        </w:rPr>
        <w:t xml:space="preserve">,” </w:t>
      </w:r>
      <w:r w:rsidRPr="00B60261">
        <w:rPr>
          <w:rFonts w:asciiTheme="minorHAnsi" w:hAnsiTheme="minorHAnsi"/>
          <w:i/>
          <w:iCs/>
          <w:color w:val="000000"/>
          <w:sz w:val="16"/>
          <w:szCs w:val="22"/>
        </w:rPr>
        <w:t>ICS</w:t>
      </w:r>
      <w:r w:rsidRPr="00B60261">
        <w:rPr>
          <w:rFonts w:asciiTheme="minorHAnsi" w:hAnsiTheme="minorHAnsi"/>
          <w:color w:val="000000"/>
          <w:sz w:val="16"/>
          <w:szCs w:val="22"/>
        </w:rPr>
        <w:t xml:space="preserve"> 24/25: 217-33.</w:t>
      </w:r>
    </w:p>
    <w:p w14:paraId="463E1956"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B60261">
        <w:rPr>
          <w:rFonts w:asciiTheme="minorHAnsi" w:hAnsiTheme="minorHAnsi"/>
          <w:color w:val="000000"/>
          <w:sz w:val="16"/>
          <w:szCs w:val="22"/>
        </w:rPr>
        <w:t>Seaford, R. (2009) “</w:t>
      </w:r>
      <w:proofErr w:type="spellStart"/>
      <w:r w:rsidRPr="00B60261">
        <w:rPr>
          <w:rFonts w:asciiTheme="minorHAnsi" w:hAnsiTheme="minorHAnsi"/>
          <w:color w:val="000000"/>
          <w:sz w:val="16"/>
          <w:szCs w:val="22"/>
        </w:rPr>
        <w:t>Aitiologies</w:t>
      </w:r>
      <w:proofErr w:type="spellEnd"/>
      <w:r w:rsidRPr="00B60261">
        <w:rPr>
          <w:rFonts w:asciiTheme="minorHAnsi" w:hAnsiTheme="minorHAnsi"/>
          <w:color w:val="000000"/>
          <w:sz w:val="16"/>
          <w:szCs w:val="22"/>
        </w:rPr>
        <w:t xml:space="preserve"> of Cult in Euripides: A Response to Scott Scullion,” in </w:t>
      </w:r>
      <w:r w:rsidRPr="00B60261">
        <w:rPr>
          <w:rFonts w:asciiTheme="minorHAnsi" w:hAnsiTheme="minorHAnsi"/>
          <w:i/>
          <w:iCs/>
          <w:color w:val="000000"/>
          <w:sz w:val="16"/>
          <w:szCs w:val="22"/>
        </w:rPr>
        <w:t xml:space="preserve">The Play of Texts and Fragments: Essays in </w:t>
      </w:r>
      <w:proofErr w:type="spellStart"/>
      <w:r w:rsidRPr="00B60261">
        <w:rPr>
          <w:rFonts w:asciiTheme="minorHAnsi" w:hAnsiTheme="minorHAnsi"/>
          <w:i/>
          <w:iCs/>
          <w:color w:val="000000"/>
          <w:sz w:val="16"/>
          <w:szCs w:val="22"/>
        </w:rPr>
        <w:t>Honour</w:t>
      </w:r>
      <w:proofErr w:type="spellEnd"/>
      <w:r w:rsidRPr="00B60261">
        <w:rPr>
          <w:rFonts w:asciiTheme="minorHAnsi" w:hAnsiTheme="minorHAnsi"/>
          <w:i/>
          <w:iCs/>
          <w:color w:val="000000"/>
          <w:sz w:val="16"/>
          <w:szCs w:val="22"/>
        </w:rPr>
        <w:t xml:space="preserve"> of Martin </w:t>
      </w:r>
      <w:proofErr w:type="spellStart"/>
      <w:r w:rsidRPr="00B60261">
        <w:rPr>
          <w:rFonts w:asciiTheme="minorHAnsi" w:hAnsiTheme="minorHAnsi"/>
          <w:i/>
          <w:iCs/>
          <w:color w:val="000000"/>
          <w:sz w:val="16"/>
          <w:szCs w:val="22"/>
        </w:rPr>
        <w:t>Cropp</w:t>
      </w:r>
      <w:proofErr w:type="spellEnd"/>
      <w:r w:rsidRPr="00B60261">
        <w:rPr>
          <w:rFonts w:asciiTheme="minorHAnsi" w:hAnsiTheme="minorHAnsi"/>
          <w:color w:val="000000"/>
          <w:sz w:val="16"/>
          <w:szCs w:val="22"/>
        </w:rPr>
        <w:t xml:space="preserve">, </w:t>
      </w:r>
      <w:proofErr w:type="gramStart"/>
      <w:r w:rsidRPr="00B60261">
        <w:rPr>
          <w:rFonts w:asciiTheme="minorHAnsi" w:hAnsiTheme="minorHAnsi"/>
          <w:color w:val="000000"/>
          <w:sz w:val="16"/>
          <w:szCs w:val="22"/>
        </w:rPr>
        <w:t>eds</w:t>
      </w:r>
      <w:proofErr w:type="gramEnd"/>
      <w:r w:rsidRPr="00B60261">
        <w:rPr>
          <w:rFonts w:asciiTheme="minorHAnsi" w:hAnsiTheme="minorHAnsi"/>
          <w:color w:val="000000"/>
          <w:sz w:val="16"/>
          <w:szCs w:val="22"/>
        </w:rPr>
        <w:t xml:space="preserve">. J. R. C. </w:t>
      </w:r>
      <w:proofErr w:type="spellStart"/>
      <w:r w:rsidRPr="00B60261">
        <w:rPr>
          <w:rFonts w:asciiTheme="minorHAnsi" w:hAnsiTheme="minorHAnsi"/>
          <w:color w:val="000000"/>
          <w:sz w:val="16"/>
          <w:szCs w:val="22"/>
        </w:rPr>
        <w:t>Cousland</w:t>
      </w:r>
      <w:proofErr w:type="spellEnd"/>
      <w:r w:rsidRPr="00B60261">
        <w:rPr>
          <w:rFonts w:asciiTheme="minorHAnsi" w:hAnsiTheme="minorHAnsi"/>
          <w:color w:val="000000"/>
          <w:sz w:val="16"/>
          <w:szCs w:val="22"/>
        </w:rPr>
        <w:t xml:space="preserve"> and J. R. Hume. Leiden: 221-34.</w:t>
      </w:r>
    </w:p>
    <w:p w14:paraId="575ED4DA"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r w:rsidRPr="00B60261">
        <w:rPr>
          <w:rFonts w:asciiTheme="minorHAnsi" w:hAnsiTheme="minorHAnsi"/>
          <w:color w:val="000000"/>
          <w:sz w:val="16"/>
          <w:szCs w:val="22"/>
          <w:lang w:val="de-DE"/>
        </w:rPr>
        <w:t xml:space="preserve">Sommerstein, A. H. (2005) </w:t>
      </w:r>
      <w:r w:rsidRPr="00B60261">
        <w:rPr>
          <w:rFonts w:asciiTheme="minorHAnsi" w:hAnsiTheme="minorHAnsi"/>
          <w:color w:val="000000"/>
          <w:sz w:val="16"/>
          <w:szCs w:val="22"/>
        </w:rPr>
        <w:t>“Tragedy and Myth,</w:t>
      </w:r>
      <w:proofErr w:type="gramStart"/>
      <w:r w:rsidRPr="00B60261">
        <w:rPr>
          <w:rFonts w:asciiTheme="minorHAnsi" w:hAnsiTheme="minorHAnsi"/>
          <w:color w:val="000000"/>
          <w:sz w:val="16"/>
          <w:szCs w:val="22"/>
        </w:rPr>
        <w:t>”</w:t>
      </w:r>
      <w:proofErr w:type="gramEnd"/>
      <w:r w:rsidRPr="00B60261">
        <w:rPr>
          <w:rFonts w:asciiTheme="minorHAnsi" w:hAnsiTheme="minorHAnsi"/>
          <w:color w:val="000000"/>
          <w:sz w:val="16"/>
          <w:szCs w:val="22"/>
        </w:rPr>
        <w:t xml:space="preserve"> in </w:t>
      </w:r>
      <w:r w:rsidRPr="00B60261">
        <w:rPr>
          <w:rFonts w:asciiTheme="minorHAnsi" w:hAnsiTheme="minorHAnsi"/>
          <w:i/>
          <w:iCs/>
          <w:color w:val="000000"/>
          <w:sz w:val="16"/>
          <w:szCs w:val="22"/>
        </w:rPr>
        <w:t>A Companion to Tragedy</w:t>
      </w:r>
      <w:r w:rsidRPr="00B60261">
        <w:rPr>
          <w:rFonts w:asciiTheme="minorHAnsi" w:hAnsiTheme="minorHAnsi"/>
          <w:color w:val="000000"/>
          <w:sz w:val="16"/>
          <w:szCs w:val="22"/>
        </w:rPr>
        <w:t>, ed. R. Bushnell. Malden, MA and Oxford: 163-80.</w:t>
      </w:r>
    </w:p>
    <w:p w14:paraId="6C189C83" w14:textId="77777777" w:rsidR="00E61644" w:rsidRPr="00B60261"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16"/>
          <w:szCs w:val="22"/>
        </w:rPr>
      </w:pPr>
      <w:proofErr w:type="spellStart"/>
      <w:r w:rsidRPr="00B60261">
        <w:rPr>
          <w:rFonts w:asciiTheme="minorHAnsi" w:hAnsiTheme="minorHAnsi"/>
          <w:color w:val="000000"/>
          <w:sz w:val="16"/>
          <w:szCs w:val="22"/>
        </w:rPr>
        <w:t>Willcock</w:t>
      </w:r>
      <w:proofErr w:type="spellEnd"/>
      <w:r w:rsidRPr="00B60261">
        <w:rPr>
          <w:rFonts w:asciiTheme="minorHAnsi" w:hAnsiTheme="minorHAnsi"/>
          <w:color w:val="000000"/>
          <w:sz w:val="16"/>
          <w:szCs w:val="22"/>
        </w:rPr>
        <w:t xml:space="preserve">, M. M. (1964) “Mythological </w:t>
      </w:r>
      <w:proofErr w:type="spellStart"/>
      <w:r w:rsidRPr="00B60261">
        <w:rPr>
          <w:rFonts w:asciiTheme="minorHAnsi" w:hAnsiTheme="minorHAnsi"/>
          <w:i/>
          <w:iCs/>
          <w:color w:val="000000"/>
          <w:sz w:val="16"/>
          <w:szCs w:val="22"/>
          <w:lang w:val="pt-PT"/>
        </w:rPr>
        <w:t>Paradeigma</w:t>
      </w:r>
      <w:proofErr w:type="spellEnd"/>
      <w:r w:rsidRPr="00B60261">
        <w:rPr>
          <w:rFonts w:asciiTheme="minorHAnsi" w:hAnsiTheme="minorHAnsi"/>
          <w:color w:val="000000"/>
          <w:sz w:val="16"/>
          <w:szCs w:val="22"/>
        </w:rPr>
        <w:t xml:space="preserve"> in the </w:t>
      </w:r>
      <w:proofErr w:type="spellStart"/>
      <w:r w:rsidRPr="00B60261">
        <w:rPr>
          <w:rFonts w:asciiTheme="minorHAnsi" w:hAnsiTheme="minorHAnsi"/>
          <w:i/>
          <w:iCs/>
          <w:color w:val="000000"/>
          <w:sz w:val="16"/>
          <w:szCs w:val="22"/>
          <w:lang w:val="fr-FR"/>
        </w:rPr>
        <w:t>Iliad</w:t>
      </w:r>
      <w:proofErr w:type="spellEnd"/>
      <w:r w:rsidRPr="00B60261">
        <w:rPr>
          <w:rFonts w:asciiTheme="minorHAnsi" w:hAnsiTheme="minorHAnsi"/>
          <w:color w:val="000000"/>
          <w:sz w:val="16"/>
          <w:szCs w:val="22"/>
        </w:rPr>
        <w:t xml:space="preserve">,” </w:t>
      </w:r>
      <w:r w:rsidRPr="00B60261">
        <w:rPr>
          <w:rFonts w:asciiTheme="minorHAnsi" w:hAnsiTheme="minorHAnsi"/>
          <w:i/>
          <w:iCs/>
          <w:color w:val="000000"/>
          <w:sz w:val="16"/>
          <w:szCs w:val="22"/>
        </w:rPr>
        <w:t>CQ</w:t>
      </w:r>
      <w:r w:rsidRPr="00B60261">
        <w:rPr>
          <w:rFonts w:asciiTheme="minorHAnsi" w:hAnsiTheme="minorHAnsi"/>
          <w:color w:val="000000"/>
          <w:sz w:val="16"/>
          <w:szCs w:val="22"/>
        </w:rPr>
        <w:t xml:space="preserve"> 14: 141-54.</w:t>
      </w:r>
    </w:p>
    <w:p w14:paraId="5499D494" w14:textId="07394E52" w:rsidR="00E61644" w:rsidRPr="002F0628" w:rsidRDefault="00E61644" w:rsidP="00DD0D4A">
      <w:pPr>
        <w:spacing w:line="276" w:lineRule="auto"/>
        <w:jc w:val="both"/>
        <w:rPr>
          <w:rFonts w:asciiTheme="minorHAnsi" w:hAnsiTheme="minorHAnsi"/>
          <w:sz w:val="22"/>
          <w:szCs w:val="22"/>
        </w:rPr>
      </w:pPr>
      <w:proofErr w:type="spellStart"/>
      <w:proofErr w:type="gramStart"/>
      <w:r w:rsidRPr="00B60261">
        <w:rPr>
          <w:rFonts w:asciiTheme="minorHAnsi" w:hAnsiTheme="minorHAnsi"/>
          <w:color w:val="000000"/>
          <w:sz w:val="16"/>
          <w:szCs w:val="22"/>
        </w:rPr>
        <w:t>Willcock</w:t>
      </w:r>
      <w:proofErr w:type="spellEnd"/>
      <w:r w:rsidRPr="00B60261">
        <w:rPr>
          <w:rFonts w:asciiTheme="minorHAnsi" w:hAnsiTheme="minorHAnsi"/>
          <w:color w:val="000000"/>
          <w:sz w:val="16"/>
          <w:szCs w:val="22"/>
        </w:rPr>
        <w:t xml:space="preserve">, M. M. (1977) “Ad Hoc Invention in the </w:t>
      </w:r>
      <w:proofErr w:type="spellStart"/>
      <w:r w:rsidRPr="00B60261">
        <w:rPr>
          <w:rFonts w:asciiTheme="minorHAnsi" w:hAnsiTheme="minorHAnsi"/>
          <w:i/>
          <w:iCs/>
          <w:color w:val="000000"/>
          <w:sz w:val="16"/>
          <w:szCs w:val="22"/>
          <w:lang w:val="fr-FR"/>
        </w:rPr>
        <w:t>Iliad</w:t>
      </w:r>
      <w:proofErr w:type="spellEnd"/>
      <w:r w:rsidRPr="00B60261">
        <w:rPr>
          <w:rFonts w:asciiTheme="minorHAnsi" w:hAnsiTheme="minorHAnsi"/>
          <w:color w:val="000000"/>
          <w:sz w:val="16"/>
          <w:szCs w:val="22"/>
        </w:rPr>
        <w:t xml:space="preserve">,” </w:t>
      </w:r>
      <w:proofErr w:type="spellStart"/>
      <w:r w:rsidRPr="00B60261">
        <w:rPr>
          <w:rFonts w:asciiTheme="minorHAnsi" w:hAnsiTheme="minorHAnsi"/>
          <w:i/>
          <w:iCs/>
          <w:color w:val="000000"/>
          <w:sz w:val="16"/>
          <w:szCs w:val="22"/>
        </w:rPr>
        <w:t>HSCPh</w:t>
      </w:r>
      <w:proofErr w:type="spellEnd"/>
      <w:r w:rsidRPr="00B60261">
        <w:rPr>
          <w:rFonts w:asciiTheme="minorHAnsi" w:hAnsiTheme="minorHAnsi"/>
          <w:color w:val="000000"/>
          <w:sz w:val="16"/>
          <w:szCs w:val="22"/>
        </w:rPr>
        <w:t xml:space="preserve"> 81: 41-53.</w:t>
      </w:r>
      <w:proofErr w:type="gramEnd"/>
    </w:p>
    <w:p w14:paraId="55A9253C" w14:textId="77777777" w:rsidR="00E61644" w:rsidRPr="002F0628" w:rsidRDefault="00E61644" w:rsidP="00DD0D4A">
      <w:pPr>
        <w:spacing w:line="276" w:lineRule="auto"/>
        <w:jc w:val="both"/>
        <w:rPr>
          <w:rFonts w:asciiTheme="minorHAnsi" w:hAnsiTheme="minorHAnsi"/>
          <w:sz w:val="22"/>
          <w:szCs w:val="22"/>
        </w:rPr>
      </w:pPr>
    </w:p>
    <w:p w14:paraId="55065DC4" w14:textId="77777777" w:rsidR="00E61644" w:rsidRPr="002F0628" w:rsidRDefault="00E61644" w:rsidP="00DD0D4A">
      <w:pPr>
        <w:spacing w:line="276" w:lineRule="auto"/>
        <w:jc w:val="both"/>
        <w:rPr>
          <w:rFonts w:asciiTheme="minorHAnsi" w:hAnsiTheme="minorHAnsi"/>
          <w:sz w:val="22"/>
          <w:szCs w:val="22"/>
        </w:rPr>
      </w:pPr>
    </w:p>
    <w:p w14:paraId="3F0C6A37" w14:textId="5DFD99E6" w:rsidR="00E61644" w:rsidRPr="002F0628" w:rsidRDefault="00B60261" w:rsidP="00DD0D4A">
      <w:pPr>
        <w:pStyle w:val="Body"/>
        <w:spacing w:line="276" w:lineRule="auto"/>
        <w:jc w:val="both"/>
        <w:rPr>
          <w:rFonts w:asciiTheme="minorHAnsi" w:eastAsia="Palatino" w:hAnsiTheme="minorHAnsi" w:cs="Palatino"/>
          <w:sz w:val="22"/>
          <w:szCs w:val="22"/>
        </w:rPr>
      </w:pPr>
      <w:r>
        <w:rPr>
          <w:rFonts w:asciiTheme="minorHAnsi" w:hAnsiTheme="minorHAnsi"/>
          <w:sz w:val="22"/>
          <w:szCs w:val="22"/>
        </w:rPr>
        <w:t xml:space="preserve">David </w:t>
      </w:r>
      <w:proofErr w:type="spellStart"/>
      <w:r>
        <w:rPr>
          <w:rFonts w:asciiTheme="minorHAnsi" w:hAnsiTheme="minorHAnsi"/>
          <w:sz w:val="22"/>
          <w:szCs w:val="22"/>
        </w:rPr>
        <w:t>Schaps</w:t>
      </w:r>
      <w:proofErr w:type="spellEnd"/>
      <w:r>
        <w:rPr>
          <w:rFonts w:asciiTheme="minorHAnsi" w:hAnsiTheme="minorHAnsi"/>
          <w:sz w:val="22"/>
          <w:szCs w:val="22"/>
        </w:rPr>
        <w:t xml:space="preserve"> (</w:t>
      </w:r>
      <w:r w:rsidR="00E61644" w:rsidRPr="002F0628">
        <w:rPr>
          <w:rFonts w:asciiTheme="minorHAnsi" w:hAnsiTheme="minorHAnsi"/>
          <w:sz w:val="22"/>
          <w:szCs w:val="22"/>
        </w:rPr>
        <w:t>Bar-</w:t>
      </w:r>
      <w:proofErr w:type="spellStart"/>
      <w:r w:rsidR="00E61644" w:rsidRPr="002F0628">
        <w:rPr>
          <w:rFonts w:asciiTheme="minorHAnsi" w:hAnsiTheme="minorHAnsi"/>
          <w:sz w:val="22"/>
          <w:szCs w:val="22"/>
        </w:rPr>
        <w:t>Ilan</w:t>
      </w:r>
      <w:proofErr w:type="spellEnd"/>
      <w:r w:rsidR="00E61644" w:rsidRPr="002F0628">
        <w:rPr>
          <w:rFonts w:asciiTheme="minorHAnsi" w:hAnsiTheme="minorHAnsi"/>
          <w:sz w:val="22"/>
          <w:szCs w:val="22"/>
        </w:rPr>
        <w:t xml:space="preserve"> University</w:t>
      </w:r>
      <w:r>
        <w:rPr>
          <w:rFonts w:asciiTheme="minorHAnsi" w:hAnsiTheme="minorHAnsi"/>
          <w:sz w:val="22"/>
          <w:szCs w:val="22"/>
        </w:rPr>
        <w:t>)</w:t>
      </w:r>
    </w:p>
    <w:p w14:paraId="5A53A236" w14:textId="77777777" w:rsidR="00E61644"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lang w:val="nl-NL"/>
        </w:rPr>
        <w:t>dschaps@gmail.com</w:t>
      </w:r>
    </w:p>
    <w:p w14:paraId="5582D07A" w14:textId="77777777" w:rsidR="00E61644" w:rsidRPr="002F0628" w:rsidRDefault="00E61644" w:rsidP="00DD0D4A">
      <w:pPr>
        <w:pStyle w:val="Body"/>
        <w:spacing w:line="276" w:lineRule="auto"/>
        <w:jc w:val="both"/>
        <w:rPr>
          <w:rFonts w:asciiTheme="minorHAnsi" w:eastAsia="Palatino" w:hAnsiTheme="minorHAnsi" w:cs="Palatino"/>
          <w:sz w:val="22"/>
          <w:szCs w:val="22"/>
        </w:rPr>
      </w:pPr>
    </w:p>
    <w:p w14:paraId="1684B084" w14:textId="77777777" w:rsidR="00E61644" w:rsidRPr="00B60261" w:rsidRDefault="00E61644" w:rsidP="00DD0D4A">
      <w:pPr>
        <w:pStyle w:val="Body"/>
        <w:spacing w:line="276" w:lineRule="auto"/>
        <w:jc w:val="both"/>
        <w:rPr>
          <w:rFonts w:asciiTheme="minorHAnsi" w:eastAsia="Palatino" w:hAnsiTheme="minorHAnsi" w:cs="Palatino"/>
          <w:b/>
          <w:sz w:val="22"/>
          <w:szCs w:val="22"/>
        </w:rPr>
      </w:pPr>
      <w:r w:rsidRPr="00B60261">
        <w:rPr>
          <w:rFonts w:asciiTheme="minorHAnsi" w:hAnsiTheme="minorHAnsi"/>
          <w:b/>
          <w:sz w:val="22"/>
          <w:szCs w:val="22"/>
        </w:rPr>
        <w:t xml:space="preserve">Our Medusa: Gluttony in </w:t>
      </w:r>
      <w:proofErr w:type="spellStart"/>
      <w:r w:rsidRPr="00B60261">
        <w:rPr>
          <w:rFonts w:asciiTheme="minorHAnsi" w:hAnsiTheme="minorHAnsi"/>
          <w:b/>
          <w:sz w:val="22"/>
          <w:szCs w:val="22"/>
        </w:rPr>
        <w:t>Hedylus</w:t>
      </w:r>
      <w:proofErr w:type="spellEnd"/>
      <w:r w:rsidRPr="00B60261">
        <w:rPr>
          <w:rFonts w:asciiTheme="minorHAnsi" w:hAnsiTheme="minorHAnsi"/>
          <w:b/>
          <w:sz w:val="22"/>
          <w:szCs w:val="22"/>
        </w:rPr>
        <w:t xml:space="preserve"> 8</w:t>
      </w:r>
    </w:p>
    <w:p w14:paraId="79FD4547" w14:textId="3B169A79" w:rsidR="00247FF3" w:rsidRPr="002F0628" w:rsidRDefault="00E6164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lang w:bidi="he-IL"/>
        </w:rPr>
      </w:pPr>
      <w:proofErr w:type="spellStart"/>
      <w:r w:rsidRPr="002F0628">
        <w:rPr>
          <w:rFonts w:asciiTheme="minorHAnsi" w:hAnsiTheme="minorHAnsi"/>
          <w:sz w:val="22"/>
          <w:szCs w:val="22"/>
        </w:rPr>
        <w:t>Hedylus</w:t>
      </w:r>
      <w:proofErr w:type="spellEnd"/>
      <w:r w:rsidRPr="002F0628">
        <w:rPr>
          <w:rFonts w:asciiTheme="minorHAnsi" w:hAnsiTheme="minorHAnsi"/>
          <w:sz w:val="22"/>
          <w:szCs w:val="22"/>
        </w:rPr>
        <w:t xml:space="preserve"> is a Hellenistic </w:t>
      </w:r>
      <w:proofErr w:type="spellStart"/>
      <w:r w:rsidRPr="002F0628">
        <w:rPr>
          <w:rFonts w:asciiTheme="minorHAnsi" w:hAnsiTheme="minorHAnsi"/>
          <w:sz w:val="22"/>
          <w:szCs w:val="22"/>
        </w:rPr>
        <w:t>epigrammist</w:t>
      </w:r>
      <w:proofErr w:type="spellEnd"/>
      <w:r w:rsidRPr="002F0628">
        <w:rPr>
          <w:rFonts w:asciiTheme="minorHAnsi" w:hAnsiTheme="minorHAnsi"/>
          <w:sz w:val="22"/>
          <w:szCs w:val="22"/>
        </w:rPr>
        <w:t xml:space="preserve"> who might be better known if more than a dozen of his epigrams had survived. In Epigram 8 (</w:t>
      </w:r>
      <w:proofErr w:type="spellStart"/>
      <w:r w:rsidRPr="002F0628">
        <w:rPr>
          <w:rFonts w:asciiTheme="minorHAnsi" w:hAnsiTheme="minorHAnsi"/>
          <w:sz w:val="22"/>
          <w:szCs w:val="22"/>
        </w:rPr>
        <w:t>Gow</w:t>
      </w:r>
      <w:proofErr w:type="spellEnd"/>
      <w:r w:rsidRPr="002F0628">
        <w:rPr>
          <w:rFonts w:asciiTheme="minorHAnsi" w:hAnsiTheme="minorHAnsi"/>
          <w:sz w:val="22"/>
          <w:szCs w:val="22"/>
        </w:rPr>
        <w:t xml:space="preserve"> &amp; Page), he addresses an overeater named Clio and encourages her to gorge herself as she pleases on a conger-eel and to leave collateral instead of paying. “You are our Medusa,” he tells her, turning her poor observers to stone by the plate not of a Gorgon, but of a </w:t>
      </w:r>
      <w:proofErr w:type="spellStart"/>
      <w:r w:rsidRPr="002F0628">
        <w:rPr>
          <w:rFonts w:asciiTheme="minorHAnsi" w:hAnsiTheme="minorHAnsi"/>
          <w:sz w:val="22"/>
          <w:szCs w:val="22"/>
        </w:rPr>
        <w:t>gongros</w:t>
      </w:r>
      <w:proofErr w:type="spellEnd"/>
      <w:r w:rsidRPr="002F0628">
        <w:rPr>
          <w:rFonts w:asciiTheme="minorHAnsi" w:hAnsiTheme="minorHAnsi"/>
          <w:sz w:val="22"/>
          <w:szCs w:val="22"/>
        </w:rPr>
        <w:t xml:space="preserve">. The six lines would perhaps be more amusing if we could read them all; but two loci </w:t>
      </w:r>
      <w:proofErr w:type="spellStart"/>
      <w:r w:rsidRPr="002F0628">
        <w:rPr>
          <w:rFonts w:asciiTheme="minorHAnsi" w:hAnsiTheme="minorHAnsi"/>
          <w:sz w:val="22"/>
          <w:szCs w:val="22"/>
        </w:rPr>
        <w:t>desperati</w:t>
      </w:r>
      <w:proofErr w:type="spellEnd"/>
      <w:r w:rsidRPr="002F0628">
        <w:rPr>
          <w:rFonts w:asciiTheme="minorHAnsi" w:hAnsiTheme="minorHAnsi"/>
          <w:sz w:val="22"/>
          <w:szCs w:val="22"/>
        </w:rPr>
        <w:t xml:space="preserve"> force editors to obelize two half lines, without so much as a reasonable conjecture. Basing myself, among </w:t>
      </w:r>
      <w:r w:rsidRPr="002F0628">
        <w:rPr>
          <w:rFonts w:asciiTheme="minorHAnsi" w:hAnsiTheme="minorHAnsi"/>
          <w:sz w:val="22"/>
          <w:szCs w:val="22"/>
        </w:rPr>
        <w:lastRenderedPageBreak/>
        <w:t>other matters, on modern fishermen, I propose an approach to solving these two cruces according to which the poet is making fun of the fish no less than the eater.</w:t>
      </w:r>
    </w:p>
    <w:p w14:paraId="4335B443" w14:textId="77777777" w:rsidR="008D4A64" w:rsidRDefault="008D4A64"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6505F9CC" w14:textId="77777777" w:rsidR="00B60261" w:rsidRPr="002F0628" w:rsidRDefault="00B60261"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5F65AB0F"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p>
    <w:p w14:paraId="7672B33B" w14:textId="77777777"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sz w:val="22"/>
          <w:szCs w:val="22"/>
        </w:rPr>
        <w:t>SESSION EIGHT: 15:30-17:00</w:t>
      </w:r>
    </w:p>
    <w:p w14:paraId="2952E5D5" w14:textId="77777777"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Chair: Donna </w:t>
      </w:r>
      <w:proofErr w:type="spellStart"/>
      <w:r w:rsidRPr="002F0628">
        <w:rPr>
          <w:rFonts w:asciiTheme="minorHAnsi" w:hAnsiTheme="minorHAnsi"/>
          <w:sz w:val="22"/>
          <w:szCs w:val="22"/>
        </w:rPr>
        <w:t>Shalev</w:t>
      </w:r>
      <w:proofErr w:type="spellEnd"/>
      <w:r w:rsidRPr="002F0628">
        <w:rPr>
          <w:rFonts w:asciiTheme="minorHAnsi" w:hAnsiTheme="minorHAnsi"/>
          <w:sz w:val="22"/>
          <w:szCs w:val="22"/>
        </w:rPr>
        <w:t xml:space="preserve"> (Hebrew University)</w:t>
      </w:r>
    </w:p>
    <w:p w14:paraId="6C47D88B" w14:textId="77777777" w:rsidR="002F0628" w:rsidRPr="002F0628" w:rsidRDefault="002F0628" w:rsidP="00DD0D4A">
      <w:pPr>
        <w:spacing w:line="276" w:lineRule="auto"/>
        <w:jc w:val="both"/>
        <w:rPr>
          <w:rFonts w:asciiTheme="minorHAnsi" w:hAnsiTheme="minorHAnsi"/>
          <w:sz w:val="22"/>
          <w:szCs w:val="22"/>
        </w:rPr>
      </w:pPr>
    </w:p>
    <w:p w14:paraId="71E036F3" w14:textId="77777777" w:rsidR="00B60261" w:rsidRPr="00B60261" w:rsidRDefault="00B60261" w:rsidP="00B602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bCs/>
          <w:sz w:val="22"/>
          <w:szCs w:val="22"/>
        </w:rPr>
      </w:pPr>
      <w:proofErr w:type="spellStart"/>
      <w:r w:rsidRPr="00B60261">
        <w:rPr>
          <w:rFonts w:asciiTheme="minorHAnsi" w:hAnsiTheme="minorHAnsi"/>
          <w:bCs/>
          <w:sz w:val="22"/>
          <w:szCs w:val="22"/>
        </w:rPr>
        <w:t>Keely</w:t>
      </w:r>
      <w:proofErr w:type="spellEnd"/>
      <w:r w:rsidRPr="00B60261">
        <w:rPr>
          <w:rFonts w:asciiTheme="minorHAnsi" w:hAnsiTheme="minorHAnsi"/>
          <w:bCs/>
          <w:sz w:val="22"/>
          <w:szCs w:val="22"/>
        </w:rPr>
        <w:t xml:space="preserve"> E.</w:t>
      </w:r>
      <w:r w:rsidR="002F0628" w:rsidRPr="00B60261">
        <w:rPr>
          <w:rFonts w:asciiTheme="minorHAnsi" w:hAnsiTheme="minorHAnsi"/>
          <w:bCs/>
          <w:sz w:val="22"/>
          <w:szCs w:val="22"/>
        </w:rPr>
        <w:t xml:space="preserve"> </w:t>
      </w:r>
      <w:r w:rsidRPr="00B60261">
        <w:rPr>
          <w:rFonts w:asciiTheme="minorHAnsi" w:hAnsiTheme="minorHAnsi"/>
          <w:bCs/>
          <w:sz w:val="22"/>
          <w:szCs w:val="22"/>
          <w:lang w:val="de-DE"/>
        </w:rPr>
        <w:t>Heuer (</w:t>
      </w:r>
      <w:r w:rsidR="002F0628" w:rsidRPr="00B60261">
        <w:rPr>
          <w:rFonts w:asciiTheme="minorHAnsi" w:hAnsiTheme="minorHAnsi"/>
          <w:bCs/>
          <w:sz w:val="22"/>
          <w:szCs w:val="22"/>
        </w:rPr>
        <w:t xml:space="preserve">The State University of New York at New </w:t>
      </w:r>
      <w:proofErr w:type="spellStart"/>
      <w:r w:rsidR="002F0628" w:rsidRPr="00B60261">
        <w:rPr>
          <w:rFonts w:asciiTheme="minorHAnsi" w:hAnsiTheme="minorHAnsi"/>
          <w:bCs/>
          <w:sz w:val="22"/>
          <w:szCs w:val="22"/>
        </w:rPr>
        <w:t>Paltz</w:t>
      </w:r>
      <w:proofErr w:type="spellEnd"/>
      <w:r w:rsidRPr="00B60261">
        <w:rPr>
          <w:rFonts w:asciiTheme="minorHAnsi" w:hAnsiTheme="minorHAnsi"/>
          <w:bCs/>
          <w:sz w:val="22"/>
          <w:szCs w:val="22"/>
        </w:rPr>
        <w:t xml:space="preserve">)   </w:t>
      </w:r>
    </w:p>
    <w:p w14:paraId="45AB0800" w14:textId="41A8EE08" w:rsidR="002F0628" w:rsidRPr="002F0628" w:rsidRDefault="002F0628" w:rsidP="00B602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tl/>
        </w:rPr>
      </w:pPr>
      <w:r w:rsidRPr="002F0628">
        <w:rPr>
          <w:rFonts w:asciiTheme="minorHAnsi" w:hAnsiTheme="minorHAnsi"/>
          <w:sz w:val="22"/>
          <w:szCs w:val="22"/>
          <w:lang w:val="de-DE"/>
        </w:rPr>
        <w:t>heuerk@newpaltz.edu</w:t>
      </w:r>
    </w:p>
    <w:p w14:paraId="4D5EC091"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p>
    <w:p w14:paraId="470E48FA"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r w:rsidRPr="002F0628">
        <w:rPr>
          <w:rFonts w:asciiTheme="minorHAnsi" w:hAnsiTheme="minorHAnsi"/>
          <w:b/>
          <w:bCs/>
          <w:sz w:val="22"/>
          <w:szCs w:val="22"/>
        </w:rPr>
        <w:t xml:space="preserve">A Motif With Many Faces: the </w:t>
      </w:r>
      <w:proofErr w:type="spellStart"/>
      <w:r w:rsidRPr="002F0628">
        <w:rPr>
          <w:rFonts w:asciiTheme="minorHAnsi" w:hAnsiTheme="minorHAnsi"/>
          <w:b/>
          <w:bCs/>
          <w:sz w:val="22"/>
          <w:szCs w:val="22"/>
        </w:rPr>
        <w:t>Janiform</w:t>
      </w:r>
      <w:proofErr w:type="spellEnd"/>
      <w:r w:rsidRPr="002F0628">
        <w:rPr>
          <w:rFonts w:asciiTheme="minorHAnsi" w:hAnsiTheme="minorHAnsi"/>
          <w:b/>
          <w:bCs/>
          <w:sz w:val="22"/>
          <w:szCs w:val="22"/>
        </w:rPr>
        <w:t xml:space="preserve"> Head in Pre-Roman Italy</w:t>
      </w:r>
    </w:p>
    <w:p w14:paraId="009AA95B"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r w:rsidRPr="002F0628">
        <w:rPr>
          <w:rFonts w:asciiTheme="minorHAnsi" w:hAnsiTheme="minorHAnsi"/>
          <w:sz w:val="22"/>
          <w:szCs w:val="22"/>
        </w:rPr>
        <w:t xml:space="preserve">The isolated head is the most common subject on the red-figure wares produced in southern Italy and Sicily between ca. 440 and the early third century BC. The motif, as primary and secondary decoration, occurs on more than 7,000 of the approximately 21,000 </w:t>
      </w:r>
      <w:proofErr w:type="gramStart"/>
      <w:r w:rsidRPr="002F0628">
        <w:rPr>
          <w:rFonts w:asciiTheme="minorHAnsi" w:hAnsiTheme="minorHAnsi"/>
          <w:sz w:val="22"/>
          <w:szCs w:val="22"/>
        </w:rPr>
        <w:t>extant</w:t>
      </w:r>
      <w:proofErr w:type="gramEnd"/>
      <w:r w:rsidRPr="002F0628">
        <w:rPr>
          <w:rFonts w:asciiTheme="minorHAnsi" w:hAnsiTheme="minorHAnsi"/>
          <w:sz w:val="22"/>
          <w:szCs w:val="22"/>
        </w:rPr>
        <w:t xml:space="preserve"> South Italian vases. Relatively infrequent in mainland Greece, the isolated head became widespread in </w:t>
      </w:r>
      <w:proofErr w:type="gramStart"/>
      <w:r w:rsidRPr="002F0628">
        <w:rPr>
          <w:rFonts w:asciiTheme="minorHAnsi" w:hAnsiTheme="minorHAnsi"/>
          <w:sz w:val="22"/>
          <w:szCs w:val="22"/>
        </w:rPr>
        <w:t>vase-painting</w:t>
      </w:r>
      <w:proofErr w:type="gramEnd"/>
      <w:r w:rsidRPr="002F0628">
        <w:rPr>
          <w:rFonts w:asciiTheme="minorHAnsi" w:hAnsiTheme="minorHAnsi"/>
          <w:sz w:val="22"/>
          <w:szCs w:val="22"/>
        </w:rPr>
        <w:t xml:space="preserve"> during the course of the fourth century, adopted in Etruria and along the Adriatic coast. The majority of the isolated heads are female, although others, like those of youths or bearded males, can be found. Despite their vast numbers, the lack of inscriptions or clear attributes that could specifically distinguish the heads is remarkable. Even when the heads are given features, such as wings, a Phrygian cap, or a </w:t>
      </w:r>
      <w:proofErr w:type="spellStart"/>
      <w:r w:rsidRPr="002F0628">
        <w:rPr>
          <w:rFonts w:asciiTheme="minorHAnsi" w:hAnsiTheme="minorHAnsi"/>
          <w:sz w:val="22"/>
          <w:szCs w:val="22"/>
        </w:rPr>
        <w:t>polos</w:t>
      </w:r>
      <w:proofErr w:type="spellEnd"/>
      <w:r w:rsidRPr="002F0628">
        <w:rPr>
          <w:rFonts w:asciiTheme="minorHAnsi" w:hAnsiTheme="minorHAnsi"/>
          <w:sz w:val="22"/>
          <w:szCs w:val="22"/>
        </w:rPr>
        <w:t xml:space="preserve"> crown, they are too indeterminate to afford more specific conclusions. Only </w:t>
      </w:r>
      <w:proofErr w:type="gramStart"/>
      <w:r w:rsidRPr="002F0628">
        <w:rPr>
          <w:rFonts w:asciiTheme="minorHAnsi" w:hAnsiTheme="minorHAnsi"/>
          <w:sz w:val="22"/>
          <w:szCs w:val="22"/>
        </w:rPr>
        <w:t>the heads of satyrs may be securely identified by modern viewers</w:t>
      </w:r>
      <w:proofErr w:type="gramEnd"/>
      <w:r w:rsidRPr="002F0628">
        <w:rPr>
          <w:rFonts w:asciiTheme="minorHAnsi" w:hAnsiTheme="minorHAnsi"/>
          <w:sz w:val="22"/>
          <w:szCs w:val="22"/>
        </w:rPr>
        <w:t>.</w:t>
      </w:r>
    </w:p>
    <w:p w14:paraId="1CC6DBA4"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r w:rsidRPr="002F0628">
        <w:rPr>
          <w:rFonts w:asciiTheme="minorHAnsi" w:hAnsiTheme="minorHAnsi"/>
          <w:sz w:val="22"/>
          <w:szCs w:val="22"/>
        </w:rPr>
        <w:t>Past concentration on identification has proven relatively fruitless, but my close observation of patterns in the motif</w:t>
      </w:r>
      <w:r w:rsidRPr="002F0628">
        <w:rPr>
          <w:rFonts w:asciiTheme="minorHAnsi" w:hAnsiTheme="minorHAnsi"/>
          <w:sz w:val="22"/>
          <w:szCs w:val="22"/>
          <w:lang w:val="fr-FR"/>
        </w:rPr>
        <w:t>’</w:t>
      </w:r>
      <w:r w:rsidRPr="002F0628">
        <w:rPr>
          <w:rFonts w:asciiTheme="minorHAnsi" w:hAnsiTheme="minorHAnsi"/>
          <w:sz w:val="22"/>
          <w:szCs w:val="22"/>
        </w:rPr>
        <w:t>s application has revealed that the isolated head was an important funerary symbol that resonated with a Greek and an Italic clientele. Indigenous beliefs were certainly major motivation behind the motif</w:t>
      </w:r>
      <w:r w:rsidRPr="002F0628">
        <w:rPr>
          <w:rFonts w:asciiTheme="minorHAnsi" w:hAnsiTheme="minorHAnsi"/>
          <w:sz w:val="22"/>
          <w:szCs w:val="22"/>
          <w:lang w:val="fr-FR"/>
        </w:rPr>
        <w:t>’</w:t>
      </w:r>
      <w:r w:rsidRPr="002F0628">
        <w:rPr>
          <w:rFonts w:asciiTheme="minorHAnsi" w:hAnsiTheme="minorHAnsi"/>
          <w:sz w:val="22"/>
          <w:szCs w:val="22"/>
        </w:rPr>
        <w:t xml:space="preserve">s frequency, and I believe even influenced the types of heads drawn, including the </w:t>
      </w:r>
      <w:proofErr w:type="gramStart"/>
      <w:r w:rsidRPr="002F0628">
        <w:rPr>
          <w:rFonts w:asciiTheme="minorHAnsi" w:hAnsiTheme="minorHAnsi"/>
          <w:sz w:val="22"/>
          <w:szCs w:val="22"/>
        </w:rPr>
        <w:t>rarest</w:t>
      </w:r>
      <w:proofErr w:type="gramEnd"/>
      <w:r w:rsidRPr="002F0628">
        <w:rPr>
          <w:rFonts w:asciiTheme="minorHAnsi" w:hAnsiTheme="minorHAnsi"/>
          <w:sz w:val="22"/>
          <w:szCs w:val="22"/>
        </w:rPr>
        <w:t xml:space="preserve">, the </w:t>
      </w:r>
      <w:proofErr w:type="spellStart"/>
      <w:r w:rsidRPr="002F0628">
        <w:rPr>
          <w:rFonts w:asciiTheme="minorHAnsi" w:hAnsiTheme="minorHAnsi"/>
          <w:sz w:val="22"/>
          <w:szCs w:val="22"/>
        </w:rPr>
        <w:t>janiform</w:t>
      </w:r>
      <w:proofErr w:type="spellEnd"/>
      <w:r w:rsidRPr="002F0628">
        <w:rPr>
          <w:rFonts w:asciiTheme="minorHAnsi" w:hAnsiTheme="minorHAnsi"/>
          <w:sz w:val="22"/>
          <w:szCs w:val="22"/>
        </w:rPr>
        <w:t xml:space="preserve"> head.</w:t>
      </w:r>
    </w:p>
    <w:p w14:paraId="31F86A4A" w14:textId="460DBD1D"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Heads with conjoined faces are </w:t>
      </w:r>
      <w:r w:rsidR="0050247A">
        <w:rPr>
          <w:rFonts w:asciiTheme="minorHAnsi" w:hAnsiTheme="minorHAnsi"/>
          <w:sz w:val="22"/>
          <w:szCs w:val="22"/>
        </w:rPr>
        <w:t xml:space="preserve">rare </w:t>
      </w:r>
      <w:r w:rsidRPr="002F0628">
        <w:rPr>
          <w:rFonts w:asciiTheme="minorHAnsi" w:hAnsiTheme="minorHAnsi"/>
          <w:sz w:val="22"/>
          <w:szCs w:val="22"/>
        </w:rPr>
        <w:t>in Greek visual culture, but are much more familiar in the pantheons of central Italy, particularly the deity Janus, whose temple with its famous doors in the Roman Forum served as the public barometer of Rome</w:t>
      </w:r>
      <w:r w:rsidRPr="002F0628">
        <w:rPr>
          <w:rFonts w:asciiTheme="minorHAnsi" w:hAnsiTheme="minorHAnsi"/>
          <w:sz w:val="22"/>
          <w:szCs w:val="22"/>
          <w:lang w:val="fr-FR"/>
        </w:rPr>
        <w:t>’</w:t>
      </w:r>
      <w:r w:rsidRPr="002F0628">
        <w:rPr>
          <w:rFonts w:asciiTheme="minorHAnsi" w:hAnsiTheme="minorHAnsi"/>
          <w:sz w:val="22"/>
          <w:szCs w:val="22"/>
        </w:rPr>
        <w:t xml:space="preserve">s martial status. However, indigenous interest in </w:t>
      </w:r>
      <w:proofErr w:type="spellStart"/>
      <w:r w:rsidRPr="002F0628">
        <w:rPr>
          <w:rFonts w:asciiTheme="minorHAnsi" w:hAnsiTheme="minorHAnsi"/>
          <w:sz w:val="22"/>
          <w:szCs w:val="22"/>
        </w:rPr>
        <w:t>janiform</w:t>
      </w:r>
      <w:proofErr w:type="spellEnd"/>
      <w:r w:rsidRPr="002F0628">
        <w:rPr>
          <w:rFonts w:asciiTheme="minorHAnsi" w:hAnsiTheme="minorHAnsi"/>
          <w:sz w:val="22"/>
          <w:szCs w:val="22"/>
        </w:rPr>
        <w:t xml:space="preserve"> heads appears much earlier on the Italian peninsula and has clear ties to the sepulchral realm, likely explaining the occasional selection of such heads in South Italian vase-painting, which are among the earliest surviving examples of the motif produced in Italy.</w:t>
      </w:r>
    </w:p>
    <w:p w14:paraId="06A33358" w14:textId="77777777" w:rsidR="00CD756C" w:rsidRDefault="00CD756C"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3DF5728A" w14:textId="77777777" w:rsidR="00CD756C" w:rsidRDefault="00CD756C"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0E9E0049" w14:textId="4A5B7270" w:rsid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r w:rsidRPr="002F0628">
        <w:rPr>
          <w:rFonts w:asciiTheme="minorHAnsi" w:hAnsiTheme="minorHAnsi"/>
          <w:color w:val="000000"/>
          <w:sz w:val="22"/>
          <w:szCs w:val="22"/>
        </w:rPr>
        <w:t>Kenneth Atkinson</w:t>
      </w:r>
      <w:r w:rsidR="00CD756C">
        <w:rPr>
          <w:rFonts w:asciiTheme="minorHAnsi" w:hAnsiTheme="minorHAnsi"/>
          <w:color w:val="000000"/>
          <w:sz w:val="22"/>
          <w:szCs w:val="22"/>
        </w:rPr>
        <w:t xml:space="preserve"> (</w:t>
      </w:r>
      <w:r w:rsidRPr="002F0628">
        <w:rPr>
          <w:rFonts w:asciiTheme="minorHAnsi" w:hAnsiTheme="minorHAnsi"/>
          <w:color w:val="000000"/>
          <w:sz w:val="22"/>
          <w:szCs w:val="22"/>
        </w:rPr>
        <w:t>University of Northern Iowa</w:t>
      </w:r>
      <w:r w:rsidR="00CD756C">
        <w:rPr>
          <w:rFonts w:asciiTheme="minorHAnsi" w:hAnsiTheme="minorHAnsi"/>
          <w:color w:val="000000"/>
          <w:sz w:val="22"/>
          <w:szCs w:val="22"/>
        </w:rPr>
        <w:t>)</w:t>
      </w:r>
    </w:p>
    <w:p w14:paraId="502BAFE8" w14:textId="77777777" w:rsidR="00CD756C" w:rsidRDefault="00CD756C" w:rsidP="00CD756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r>
        <w:rPr>
          <w:rFonts w:asciiTheme="minorHAnsi" w:hAnsiTheme="minorHAnsi"/>
          <w:color w:val="000000"/>
          <w:sz w:val="22"/>
          <w:szCs w:val="22"/>
        </w:rPr>
        <w:t>Kenneth.Atkinson@uni.edu</w:t>
      </w:r>
    </w:p>
    <w:p w14:paraId="05F86260" w14:textId="77777777" w:rsidR="00CD756C" w:rsidRDefault="00CD756C" w:rsidP="00CD756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
    <w:p w14:paraId="53555CF4" w14:textId="265AEC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CD756C">
        <w:rPr>
          <w:rFonts w:asciiTheme="minorHAnsi" w:hAnsiTheme="minorHAnsi"/>
          <w:b/>
          <w:color w:val="000000"/>
          <w:sz w:val="22"/>
          <w:szCs w:val="22"/>
        </w:rPr>
        <w:t xml:space="preserve">The Conflict Between Lucullus and </w:t>
      </w:r>
      <w:proofErr w:type="spellStart"/>
      <w:r w:rsidRPr="00CD756C">
        <w:rPr>
          <w:rFonts w:asciiTheme="minorHAnsi" w:hAnsiTheme="minorHAnsi"/>
          <w:b/>
          <w:color w:val="000000"/>
          <w:sz w:val="22"/>
          <w:szCs w:val="22"/>
        </w:rPr>
        <w:t>Tigranes</w:t>
      </w:r>
      <w:proofErr w:type="spellEnd"/>
      <w:r w:rsidRPr="00CD756C">
        <w:rPr>
          <w:rFonts w:asciiTheme="minorHAnsi" w:hAnsiTheme="minorHAnsi"/>
          <w:b/>
          <w:color w:val="000000"/>
          <w:sz w:val="22"/>
          <w:szCs w:val="22"/>
        </w:rPr>
        <w:t xml:space="preserve"> the Great: Its Causes and Effects</w:t>
      </w:r>
    </w:p>
    <w:p w14:paraId="0CDBEF22"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The </w:t>
      </w:r>
      <w:proofErr w:type="spellStart"/>
      <w:r w:rsidRPr="002F0628">
        <w:rPr>
          <w:rFonts w:asciiTheme="minorHAnsi" w:hAnsiTheme="minorHAnsi"/>
          <w:color w:val="000000"/>
          <w:sz w:val="22"/>
          <w:szCs w:val="22"/>
        </w:rPr>
        <w:t>Mithridatic</w:t>
      </w:r>
      <w:proofErr w:type="spellEnd"/>
      <w:r w:rsidRPr="002F0628">
        <w:rPr>
          <w:rFonts w:asciiTheme="minorHAnsi" w:hAnsiTheme="minorHAnsi"/>
          <w:color w:val="000000"/>
          <w:sz w:val="22"/>
          <w:szCs w:val="22"/>
        </w:rPr>
        <w:t xml:space="preserve"> Wars led to the expansion of the Roman Republic throughout the Middle East. Although much has been written about this conflict, little attention has been paid to how it affected one of its major participants, namely Lucullus. This paper focuses on his little studied invasion of the kingdom of the Armenian monarch </w:t>
      </w:r>
      <w:proofErr w:type="spellStart"/>
      <w:r w:rsidRPr="002F0628">
        <w:rPr>
          <w:rFonts w:asciiTheme="minorHAnsi" w:hAnsiTheme="minorHAnsi"/>
          <w:color w:val="000000"/>
          <w:sz w:val="22"/>
          <w:szCs w:val="22"/>
        </w:rPr>
        <w:t>Tigranes</w:t>
      </w:r>
      <w:proofErr w:type="spellEnd"/>
      <w:r w:rsidRPr="002F0628">
        <w:rPr>
          <w:rFonts w:asciiTheme="minorHAnsi" w:hAnsiTheme="minorHAnsi"/>
          <w:color w:val="000000"/>
          <w:sz w:val="22"/>
          <w:szCs w:val="22"/>
        </w:rPr>
        <w:t xml:space="preserve"> II the Great (95-56 B.C.E.), the son-in-law of </w:t>
      </w:r>
      <w:proofErr w:type="spellStart"/>
      <w:r w:rsidRPr="002F0628">
        <w:rPr>
          <w:rFonts w:asciiTheme="minorHAnsi" w:hAnsiTheme="minorHAnsi"/>
          <w:color w:val="000000"/>
          <w:sz w:val="22"/>
          <w:szCs w:val="22"/>
        </w:rPr>
        <w:t>Mithridates</w:t>
      </w:r>
      <w:proofErr w:type="spellEnd"/>
      <w:r w:rsidRPr="002F0628">
        <w:rPr>
          <w:rFonts w:asciiTheme="minorHAnsi" w:hAnsiTheme="minorHAnsi"/>
          <w:color w:val="000000"/>
          <w:sz w:val="22"/>
          <w:szCs w:val="22"/>
        </w:rPr>
        <w:t xml:space="preserve"> VI. It explores the importance of Lucullus</w:t>
      </w:r>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route of travel to Armenia and how the prior actions of </w:t>
      </w:r>
      <w:proofErr w:type="spellStart"/>
      <w:r w:rsidRPr="002F0628">
        <w:rPr>
          <w:rFonts w:asciiTheme="minorHAnsi" w:hAnsiTheme="minorHAnsi"/>
          <w:color w:val="000000"/>
          <w:sz w:val="22"/>
          <w:szCs w:val="22"/>
        </w:rPr>
        <w:t>Tigranes</w:t>
      </w:r>
      <w:proofErr w:type="spellEnd"/>
      <w:r w:rsidRPr="002F0628">
        <w:rPr>
          <w:rFonts w:asciiTheme="minorHAnsi" w:hAnsiTheme="minorHAnsi"/>
          <w:color w:val="000000"/>
          <w:sz w:val="22"/>
          <w:szCs w:val="22"/>
        </w:rPr>
        <w:t xml:space="preserve"> in the region created the favorable conditions for the eventual Roman annexation of much of Armenia. This paper suggests that Lucullus</w:t>
      </w:r>
      <w:r w:rsidRPr="002F0628">
        <w:rPr>
          <w:rFonts w:asciiTheme="minorHAnsi" w:hAnsiTheme="minorHAnsi"/>
          <w:color w:val="000000"/>
          <w:sz w:val="22"/>
          <w:szCs w:val="22"/>
          <w:lang w:val="fr-FR"/>
        </w:rPr>
        <w:t>’</w:t>
      </w:r>
      <w:r w:rsidRPr="002F0628">
        <w:rPr>
          <w:rFonts w:asciiTheme="minorHAnsi" w:hAnsiTheme="minorHAnsi"/>
          <w:color w:val="000000"/>
          <w:sz w:val="22"/>
          <w:szCs w:val="22"/>
        </w:rPr>
        <w:t>s invasion of Armenia was a rash venture that was not planned in advance, but that he undertook it in reaction to unexpected political events in the Seleucid Empire.</w:t>
      </w:r>
    </w:p>
    <w:p w14:paraId="0F45284F" w14:textId="610BD879"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color w:val="000000"/>
          <w:sz w:val="22"/>
          <w:szCs w:val="22"/>
        </w:rPr>
        <w:lastRenderedPageBreak/>
        <w:t xml:space="preserve">The first part of this presentation explores the relationship between Lucullus and </w:t>
      </w:r>
      <w:proofErr w:type="spellStart"/>
      <w:r w:rsidRPr="002F0628">
        <w:rPr>
          <w:rFonts w:asciiTheme="minorHAnsi" w:hAnsiTheme="minorHAnsi"/>
          <w:color w:val="000000"/>
          <w:sz w:val="22"/>
          <w:szCs w:val="22"/>
        </w:rPr>
        <w:t>Tigranes</w:t>
      </w:r>
      <w:proofErr w:type="spellEnd"/>
      <w:r w:rsidRPr="002F0628">
        <w:rPr>
          <w:rFonts w:asciiTheme="minorHAnsi" w:hAnsiTheme="minorHAnsi"/>
          <w:color w:val="000000"/>
          <w:sz w:val="22"/>
          <w:szCs w:val="22"/>
        </w:rPr>
        <w:t xml:space="preserve"> during the Third </w:t>
      </w:r>
      <w:proofErr w:type="spellStart"/>
      <w:r w:rsidRPr="002F0628">
        <w:rPr>
          <w:rFonts w:asciiTheme="minorHAnsi" w:hAnsiTheme="minorHAnsi"/>
          <w:color w:val="000000"/>
          <w:sz w:val="22"/>
          <w:szCs w:val="22"/>
        </w:rPr>
        <w:t>Mithridatic</w:t>
      </w:r>
      <w:proofErr w:type="spellEnd"/>
      <w:r w:rsidRPr="002F0628">
        <w:rPr>
          <w:rFonts w:asciiTheme="minorHAnsi" w:hAnsiTheme="minorHAnsi"/>
          <w:color w:val="000000"/>
          <w:sz w:val="22"/>
          <w:szCs w:val="22"/>
        </w:rPr>
        <w:t xml:space="preserve"> War. It focuses on new historical, numismatic, and archaeological discoveries from Armenia that shed light on </w:t>
      </w:r>
      <w:proofErr w:type="spellStart"/>
      <w:r w:rsidRPr="002F0628">
        <w:rPr>
          <w:rFonts w:asciiTheme="minorHAnsi" w:hAnsiTheme="minorHAnsi"/>
          <w:color w:val="000000"/>
          <w:sz w:val="22"/>
          <w:szCs w:val="22"/>
        </w:rPr>
        <w:t>Tigranes</w:t>
      </w:r>
      <w:proofErr w:type="spellEnd"/>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actions and policies at this time, which would later encourage Lucullus to invade Armenia. These include </w:t>
      </w:r>
      <w:proofErr w:type="spellStart"/>
      <w:r w:rsidRPr="002F0628">
        <w:rPr>
          <w:rFonts w:asciiTheme="minorHAnsi" w:hAnsiTheme="minorHAnsi"/>
          <w:color w:val="000000"/>
          <w:sz w:val="22"/>
          <w:szCs w:val="22"/>
        </w:rPr>
        <w:t>Tigranes</w:t>
      </w:r>
      <w:proofErr w:type="spellEnd"/>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construction of </w:t>
      </w:r>
      <w:proofErr w:type="spellStart"/>
      <w:r w:rsidRPr="002F0628">
        <w:rPr>
          <w:rFonts w:asciiTheme="minorHAnsi" w:hAnsiTheme="minorHAnsi"/>
          <w:color w:val="000000"/>
          <w:sz w:val="22"/>
          <w:szCs w:val="22"/>
        </w:rPr>
        <w:t>Tigranocerta</w:t>
      </w:r>
      <w:proofErr w:type="spellEnd"/>
      <w:r w:rsidRPr="002F0628">
        <w:rPr>
          <w:rFonts w:asciiTheme="minorHAnsi" w:hAnsiTheme="minorHAnsi"/>
          <w:color w:val="000000"/>
          <w:sz w:val="22"/>
          <w:szCs w:val="22"/>
        </w:rPr>
        <w:t xml:space="preserve">, archaeological evidence of his forced movement of local populations, and his invasion of Syria. The second portion proposes that Lucullus took advantage of the Syrian campaign of </w:t>
      </w:r>
      <w:proofErr w:type="spellStart"/>
      <w:r w:rsidRPr="002F0628">
        <w:rPr>
          <w:rFonts w:asciiTheme="minorHAnsi" w:hAnsiTheme="minorHAnsi"/>
          <w:color w:val="000000"/>
          <w:sz w:val="22"/>
          <w:szCs w:val="22"/>
        </w:rPr>
        <w:t>Tigranes</w:t>
      </w:r>
      <w:proofErr w:type="spellEnd"/>
      <w:r w:rsidRPr="002F0628">
        <w:rPr>
          <w:rFonts w:asciiTheme="minorHAnsi" w:hAnsiTheme="minorHAnsi"/>
          <w:color w:val="000000"/>
          <w:sz w:val="22"/>
          <w:szCs w:val="22"/>
        </w:rPr>
        <w:t xml:space="preserve"> to make a surprise invasion of Armenia. It retraces Lucullus</w:t>
      </w:r>
      <w:r w:rsidRPr="002F0628">
        <w:rPr>
          <w:rFonts w:asciiTheme="minorHAnsi" w:hAnsiTheme="minorHAnsi"/>
          <w:color w:val="000000"/>
          <w:sz w:val="22"/>
          <w:szCs w:val="22"/>
          <w:lang w:val="fr-FR"/>
        </w:rPr>
        <w:t>’</w:t>
      </w:r>
      <w:r w:rsidRPr="002F0628">
        <w:rPr>
          <w:rFonts w:asciiTheme="minorHAnsi" w:hAnsiTheme="minorHAnsi"/>
          <w:color w:val="000000"/>
          <w:sz w:val="22"/>
          <w:szCs w:val="22"/>
        </w:rPr>
        <w:t xml:space="preserve">s route of travel to show how he used his prior visit to the region to his advantage to reach </w:t>
      </w:r>
      <w:proofErr w:type="spellStart"/>
      <w:r w:rsidRPr="002F0628">
        <w:rPr>
          <w:rFonts w:asciiTheme="minorHAnsi" w:hAnsiTheme="minorHAnsi"/>
          <w:color w:val="000000"/>
          <w:sz w:val="22"/>
          <w:szCs w:val="22"/>
        </w:rPr>
        <w:t>Tigranocerta</w:t>
      </w:r>
      <w:proofErr w:type="spellEnd"/>
      <w:r w:rsidRPr="002F0628">
        <w:rPr>
          <w:rFonts w:asciiTheme="minorHAnsi" w:hAnsiTheme="minorHAnsi"/>
          <w:color w:val="000000"/>
          <w:sz w:val="22"/>
          <w:szCs w:val="22"/>
        </w:rPr>
        <w:t xml:space="preserve">. Although Lucullus was unprepared for this expedition, archaeological and historical evidence suggests he knew that much of Armenia was undefended at this time. This presentation suggests that Lucullus was successful because he used both his knowledge of the region and stealth to reach Armenia before </w:t>
      </w:r>
      <w:proofErr w:type="spellStart"/>
      <w:r w:rsidRPr="002F0628">
        <w:rPr>
          <w:rFonts w:asciiTheme="minorHAnsi" w:hAnsiTheme="minorHAnsi"/>
          <w:color w:val="000000"/>
          <w:sz w:val="22"/>
          <w:szCs w:val="22"/>
        </w:rPr>
        <w:t>Tigranes</w:t>
      </w:r>
      <w:proofErr w:type="spellEnd"/>
      <w:r w:rsidRPr="002F0628">
        <w:rPr>
          <w:rFonts w:asciiTheme="minorHAnsi" w:hAnsiTheme="minorHAnsi"/>
          <w:color w:val="000000"/>
          <w:sz w:val="22"/>
          <w:szCs w:val="22"/>
        </w:rPr>
        <w:t xml:space="preserve"> and the Senate knew about his expedition.</w:t>
      </w:r>
    </w:p>
    <w:p w14:paraId="6B280549" w14:textId="77777777" w:rsidR="002F0628" w:rsidRPr="002F0628" w:rsidRDefault="002F0628" w:rsidP="00DD0D4A">
      <w:pPr>
        <w:spacing w:line="276" w:lineRule="auto"/>
        <w:jc w:val="both"/>
        <w:rPr>
          <w:rFonts w:asciiTheme="minorHAnsi" w:hAnsiTheme="minorHAnsi"/>
          <w:sz w:val="22"/>
          <w:szCs w:val="22"/>
        </w:rPr>
      </w:pPr>
    </w:p>
    <w:p w14:paraId="7E33634F" w14:textId="77777777" w:rsidR="002F0628" w:rsidRPr="002F0628" w:rsidRDefault="002F0628" w:rsidP="00DD0D4A">
      <w:pPr>
        <w:spacing w:line="276" w:lineRule="auto"/>
        <w:jc w:val="both"/>
        <w:rPr>
          <w:rFonts w:asciiTheme="minorHAnsi" w:hAnsiTheme="minorHAnsi"/>
          <w:sz w:val="22"/>
          <w:szCs w:val="22"/>
        </w:rPr>
      </w:pPr>
    </w:p>
    <w:p w14:paraId="7E06D6F6" w14:textId="642B9032" w:rsidR="002F0628" w:rsidRPr="002F0628" w:rsidRDefault="002F0628" w:rsidP="00CD756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r w:rsidRPr="002F0628">
        <w:rPr>
          <w:rFonts w:asciiTheme="minorHAnsi" w:hAnsiTheme="minorHAnsi"/>
          <w:sz w:val="22"/>
          <w:szCs w:val="22"/>
        </w:rPr>
        <w:t xml:space="preserve">Lewis, </w:t>
      </w:r>
      <w:proofErr w:type="spellStart"/>
      <w:r w:rsidRPr="002F0628">
        <w:rPr>
          <w:rFonts w:asciiTheme="minorHAnsi" w:hAnsiTheme="minorHAnsi"/>
          <w:sz w:val="22"/>
          <w:szCs w:val="22"/>
        </w:rPr>
        <w:t>Orly</w:t>
      </w:r>
      <w:proofErr w:type="spellEnd"/>
      <w:r w:rsidR="00CD756C">
        <w:rPr>
          <w:rFonts w:asciiTheme="minorHAnsi" w:hAnsiTheme="minorHAnsi"/>
          <w:sz w:val="22"/>
          <w:szCs w:val="22"/>
        </w:rPr>
        <w:t xml:space="preserve"> (</w:t>
      </w:r>
      <w:r w:rsidRPr="002F0628">
        <w:rPr>
          <w:rFonts w:asciiTheme="minorHAnsi" w:hAnsiTheme="minorHAnsi"/>
          <w:sz w:val="22"/>
          <w:szCs w:val="22"/>
          <w:lang w:val="da-DK"/>
        </w:rPr>
        <w:t xml:space="preserve">Humboldt </w:t>
      </w:r>
      <w:proofErr w:type="spellStart"/>
      <w:r w:rsidRPr="002F0628">
        <w:rPr>
          <w:rFonts w:asciiTheme="minorHAnsi" w:hAnsiTheme="minorHAnsi"/>
          <w:sz w:val="22"/>
          <w:szCs w:val="22"/>
          <w:lang w:val="da-DK"/>
        </w:rPr>
        <w:t>Universit</w:t>
      </w:r>
      <w:proofErr w:type="spellEnd"/>
      <w:r w:rsidRPr="002F0628">
        <w:rPr>
          <w:rFonts w:asciiTheme="minorHAnsi" w:hAnsiTheme="minorHAnsi"/>
          <w:sz w:val="22"/>
          <w:szCs w:val="22"/>
        </w:rPr>
        <w:t>ä</w:t>
      </w:r>
      <w:r w:rsidRPr="002F0628">
        <w:rPr>
          <w:rFonts w:asciiTheme="minorHAnsi" w:hAnsiTheme="minorHAnsi"/>
          <w:sz w:val="22"/>
          <w:szCs w:val="22"/>
          <w:lang w:val="de-DE"/>
        </w:rPr>
        <w:t>t zu Berlin</w:t>
      </w:r>
      <w:r w:rsidR="00CD756C">
        <w:rPr>
          <w:rFonts w:asciiTheme="minorHAnsi" w:hAnsiTheme="minorHAnsi"/>
          <w:sz w:val="22"/>
          <w:szCs w:val="22"/>
          <w:lang w:val="de-DE"/>
        </w:rPr>
        <w:t xml:space="preserve">) </w:t>
      </w:r>
    </w:p>
    <w:p w14:paraId="6771A11D"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proofErr w:type="gramStart"/>
      <w:r w:rsidRPr="002F0628">
        <w:rPr>
          <w:rFonts w:asciiTheme="minorHAnsi" w:hAnsiTheme="minorHAnsi"/>
          <w:sz w:val="22"/>
          <w:szCs w:val="22"/>
        </w:rPr>
        <w:t>orly.lewis@hu</w:t>
      </w:r>
      <w:proofErr w:type="gramEnd"/>
      <w:r w:rsidRPr="002F0628">
        <w:rPr>
          <w:rFonts w:asciiTheme="minorHAnsi" w:hAnsiTheme="minorHAnsi"/>
          <w:sz w:val="22"/>
          <w:szCs w:val="22"/>
        </w:rPr>
        <w:t>-berlin.de</w:t>
      </w:r>
    </w:p>
    <w:p w14:paraId="0D3EB838"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p>
    <w:p w14:paraId="109AEE5A" w14:textId="7647CA2B"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proofErr w:type="spellStart"/>
      <w:r w:rsidRPr="002F0628">
        <w:rPr>
          <w:rFonts w:asciiTheme="minorHAnsi" w:hAnsiTheme="minorHAnsi"/>
          <w:b/>
          <w:bCs/>
          <w:sz w:val="22"/>
          <w:szCs w:val="22"/>
        </w:rPr>
        <w:t>Marcellinus</w:t>
      </w:r>
      <w:proofErr w:type="spellEnd"/>
      <w:r w:rsidRPr="002F0628">
        <w:rPr>
          <w:rFonts w:asciiTheme="minorHAnsi" w:hAnsiTheme="minorHAnsi"/>
          <w:b/>
          <w:bCs/>
          <w:sz w:val="22"/>
          <w:szCs w:val="22"/>
        </w:rPr>
        <w:t xml:space="preserve"> </w:t>
      </w:r>
      <w:r w:rsidRPr="002F0628">
        <w:rPr>
          <w:rFonts w:asciiTheme="minorHAnsi" w:hAnsiTheme="minorHAnsi"/>
          <w:b/>
          <w:bCs/>
          <w:i/>
          <w:iCs/>
          <w:sz w:val="22"/>
          <w:szCs w:val="22"/>
          <w:lang w:val="da-DK"/>
        </w:rPr>
        <w:t>On Pulse</w:t>
      </w:r>
      <w:r w:rsidRPr="002F0628">
        <w:rPr>
          <w:rFonts w:asciiTheme="minorHAnsi" w:hAnsiTheme="minorHAnsi"/>
          <w:b/>
          <w:bCs/>
          <w:sz w:val="22"/>
          <w:szCs w:val="22"/>
        </w:rPr>
        <w:t>: a Forgotten Treatise on the Deontology of Measuring the Pulse</w:t>
      </w:r>
    </w:p>
    <w:p w14:paraId="5334619D"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7" w:line="276" w:lineRule="auto"/>
        <w:jc w:val="both"/>
        <w:rPr>
          <w:rFonts w:asciiTheme="minorHAnsi" w:eastAsia="Palatino" w:hAnsiTheme="minorHAnsi" w:cs="Palatino"/>
          <w:sz w:val="22"/>
          <w:szCs w:val="22"/>
        </w:rPr>
      </w:pPr>
      <w:r w:rsidRPr="002F0628">
        <w:rPr>
          <w:rFonts w:asciiTheme="minorHAnsi" w:hAnsiTheme="minorHAnsi"/>
          <w:sz w:val="22"/>
          <w:szCs w:val="22"/>
        </w:rPr>
        <w:t xml:space="preserve">Among the vast corpus of Greco-Roman writings on the pulse we find a short treatise entitled </w:t>
      </w:r>
      <w:r w:rsidRPr="002F0628">
        <w:rPr>
          <w:rFonts w:asciiTheme="minorHAnsi" w:hAnsiTheme="minorHAnsi"/>
          <w:i/>
          <w:iCs/>
          <w:sz w:val="22"/>
          <w:szCs w:val="22"/>
          <w:lang w:val="da-DK"/>
        </w:rPr>
        <w:t>On Pulse</w:t>
      </w:r>
      <w:r w:rsidRPr="002F0628">
        <w:rPr>
          <w:rFonts w:asciiTheme="minorHAnsi" w:hAnsiTheme="minorHAnsi"/>
          <w:sz w:val="22"/>
          <w:szCs w:val="22"/>
        </w:rPr>
        <w:t xml:space="preserve"> (π</w:t>
      </w:r>
      <w:proofErr w:type="spellStart"/>
      <w:r w:rsidRPr="002F0628">
        <w:rPr>
          <w:rFonts w:asciiTheme="minorHAnsi" w:hAnsiTheme="minorHAnsi"/>
          <w:sz w:val="22"/>
          <w:szCs w:val="22"/>
        </w:rPr>
        <w:t>ερὶ</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σφυγμῶν</w:t>
      </w:r>
      <w:proofErr w:type="spellEnd"/>
      <w:r w:rsidRPr="002F0628">
        <w:rPr>
          <w:rFonts w:asciiTheme="minorHAnsi" w:hAnsiTheme="minorHAnsi"/>
          <w:sz w:val="22"/>
          <w:szCs w:val="22"/>
        </w:rPr>
        <w:t xml:space="preserve">) composed by a second- or third- century AD physician named </w:t>
      </w:r>
      <w:proofErr w:type="spellStart"/>
      <w:r w:rsidRPr="002F0628">
        <w:rPr>
          <w:rFonts w:asciiTheme="minorHAnsi" w:hAnsiTheme="minorHAnsi"/>
          <w:sz w:val="22"/>
          <w:szCs w:val="22"/>
        </w:rPr>
        <w:t>Marcellinus</w:t>
      </w:r>
      <w:proofErr w:type="spellEnd"/>
      <w:r w:rsidRPr="002F0628">
        <w:rPr>
          <w:rFonts w:asciiTheme="minorHAnsi" w:hAnsiTheme="minorHAnsi"/>
          <w:sz w:val="22"/>
          <w:szCs w:val="22"/>
        </w:rPr>
        <w:t xml:space="preserve">. This treatise seems to have been </w:t>
      </w:r>
      <w:proofErr w:type="gramStart"/>
      <w:r w:rsidRPr="002F0628">
        <w:rPr>
          <w:rFonts w:asciiTheme="minorHAnsi" w:hAnsiTheme="minorHAnsi"/>
          <w:sz w:val="22"/>
          <w:szCs w:val="22"/>
        </w:rPr>
        <w:t>intended</w:t>
      </w:r>
      <w:proofErr w:type="gramEnd"/>
      <w:r w:rsidRPr="002F0628">
        <w:rPr>
          <w:rFonts w:asciiTheme="minorHAnsi" w:hAnsiTheme="minorHAnsi"/>
          <w:sz w:val="22"/>
          <w:szCs w:val="22"/>
        </w:rPr>
        <w:t xml:space="preserve"> as a handbook for physicians and its first part is dedicated not to theory, but to practice, namely, practical and deontological guidelines on how to examine the patient whose pulse must be measured. </w:t>
      </w:r>
      <w:proofErr w:type="spellStart"/>
      <w:r w:rsidRPr="002F0628">
        <w:rPr>
          <w:rFonts w:asciiTheme="minorHAnsi" w:hAnsiTheme="minorHAnsi"/>
          <w:sz w:val="22"/>
          <w:szCs w:val="22"/>
        </w:rPr>
        <w:t>Marcellinus</w:t>
      </w:r>
      <w:proofErr w:type="spellEnd"/>
      <w:r w:rsidRPr="002F0628">
        <w:rPr>
          <w:rFonts w:asciiTheme="minorHAnsi" w:hAnsiTheme="minorHAnsi"/>
          <w:sz w:val="22"/>
          <w:szCs w:val="22"/>
        </w:rPr>
        <w:t xml:space="preserve"> explains, for instance, which part of the body should be palpitated, how many fingers to use and how much pressure to apply. In addition, he stresses, for example, that the physician must chat with the patient before examining his or her pulse, and advises on the means by which the patient</w:t>
      </w:r>
      <w:r w:rsidRPr="002F0628">
        <w:rPr>
          <w:rFonts w:asciiTheme="minorHAnsi" w:hAnsiTheme="minorHAnsi"/>
          <w:sz w:val="22"/>
          <w:szCs w:val="22"/>
          <w:lang w:val="fr-FR"/>
        </w:rPr>
        <w:t>’</w:t>
      </w:r>
      <w:r w:rsidRPr="002F0628">
        <w:rPr>
          <w:rFonts w:asciiTheme="minorHAnsi" w:hAnsiTheme="minorHAnsi"/>
          <w:sz w:val="22"/>
          <w:szCs w:val="22"/>
        </w:rPr>
        <w:t>s modesty may be maintained during the examination, noting the need for special care in the case of female and young patients.</w:t>
      </w:r>
    </w:p>
    <w:p w14:paraId="29DAF90B" w14:textId="77777777" w:rsidR="009B4918" w:rsidRDefault="002F0628" w:rsidP="009B49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r w:rsidRPr="002F0628">
        <w:rPr>
          <w:rFonts w:asciiTheme="minorHAnsi" w:hAnsiTheme="minorHAnsi"/>
          <w:sz w:val="22"/>
          <w:szCs w:val="22"/>
        </w:rPr>
        <w:t xml:space="preserve">Despite the importance of this treatise for the study of ancient medical practice and of the relation between ancient physicians and their patients, it has received little scholarly attention. The only edition was published in 1907 by Η. </w:t>
      </w:r>
      <w:proofErr w:type="spellStart"/>
      <w:r w:rsidRPr="002F0628">
        <w:rPr>
          <w:rFonts w:asciiTheme="minorHAnsi" w:hAnsiTheme="minorHAnsi"/>
          <w:sz w:val="22"/>
          <w:szCs w:val="22"/>
        </w:rPr>
        <w:t>Schoene</w:t>
      </w:r>
      <w:proofErr w:type="spellEnd"/>
      <w:r w:rsidRPr="002F0628">
        <w:rPr>
          <w:rFonts w:asciiTheme="minorHAnsi" w:hAnsiTheme="minorHAnsi"/>
          <w:sz w:val="22"/>
          <w:szCs w:val="22"/>
        </w:rPr>
        <w:t xml:space="preserve">, who did not consult all the extant manuscripts (a new edition is currently being prepared by H. von </w:t>
      </w:r>
      <w:proofErr w:type="spellStart"/>
      <w:r w:rsidRPr="002F0628">
        <w:rPr>
          <w:rFonts w:asciiTheme="minorHAnsi" w:hAnsiTheme="minorHAnsi"/>
          <w:sz w:val="22"/>
          <w:szCs w:val="22"/>
        </w:rPr>
        <w:t>Staden</w:t>
      </w:r>
      <w:proofErr w:type="spellEnd"/>
      <w:r w:rsidRPr="002F0628">
        <w:rPr>
          <w:rFonts w:asciiTheme="minorHAnsi" w:hAnsiTheme="minorHAnsi"/>
          <w:sz w:val="22"/>
          <w:szCs w:val="22"/>
        </w:rPr>
        <w:t>) and scholars have more or less ignored its first part, referring mostly to its theoretical part, i.e. on the definitions and distinctions of the pulse.</w:t>
      </w:r>
    </w:p>
    <w:p w14:paraId="42CC94E4" w14:textId="5090F1B0" w:rsidR="00FD50E5" w:rsidRPr="002F0628" w:rsidRDefault="002F0628" w:rsidP="009B49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Pr>
      </w:pPr>
      <w:r w:rsidRPr="002F0628">
        <w:rPr>
          <w:rFonts w:asciiTheme="minorHAnsi" w:hAnsiTheme="minorHAnsi"/>
          <w:sz w:val="22"/>
          <w:szCs w:val="22"/>
        </w:rPr>
        <w:t xml:space="preserve">The aim of my paper is to bring to light the invaluable information offered by this treatise. Through a close examination of its first part and with the aid of other sources, such as </w:t>
      </w:r>
      <w:proofErr w:type="spellStart"/>
      <w:r w:rsidRPr="002F0628">
        <w:rPr>
          <w:rFonts w:asciiTheme="minorHAnsi" w:hAnsiTheme="minorHAnsi"/>
          <w:sz w:val="22"/>
          <w:szCs w:val="22"/>
        </w:rPr>
        <w:t>Celsus</w:t>
      </w:r>
      <w:proofErr w:type="spellEnd"/>
      <w:r w:rsidRPr="002F0628">
        <w:rPr>
          <w:rFonts w:asciiTheme="minorHAnsi" w:hAnsiTheme="minorHAnsi"/>
          <w:sz w:val="22"/>
          <w:szCs w:val="22"/>
        </w:rPr>
        <w:t>, Galen and some anonymous works, I shall argue (</w:t>
      </w:r>
      <w:proofErr w:type="spellStart"/>
      <w:r w:rsidRPr="002F0628">
        <w:rPr>
          <w:rFonts w:asciiTheme="minorHAnsi" w:hAnsiTheme="minorHAnsi"/>
          <w:sz w:val="22"/>
          <w:szCs w:val="22"/>
        </w:rPr>
        <w:t>i</w:t>
      </w:r>
      <w:proofErr w:type="spellEnd"/>
      <w:r w:rsidRPr="002F0628">
        <w:rPr>
          <w:rFonts w:asciiTheme="minorHAnsi" w:hAnsiTheme="minorHAnsi"/>
          <w:sz w:val="22"/>
          <w:szCs w:val="22"/>
        </w:rPr>
        <w:t>) that this treatise was part of a broader tendency, in which the patients and their treatment, and not only medical theory, became a central topic in the professional discussions among ancient physicians and (ii) that although this tendency served as a rhetorical tool in the professional rivalry among the physicians, it was also rooted in an understanding that the success of the treatment and the establishment of the physician</w:t>
      </w:r>
      <w:r w:rsidRPr="002F0628">
        <w:rPr>
          <w:rFonts w:asciiTheme="minorHAnsi" w:hAnsiTheme="minorHAnsi"/>
          <w:sz w:val="22"/>
          <w:szCs w:val="22"/>
          <w:lang w:val="fr-FR"/>
        </w:rPr>
        <w:t>’</w:t>
      </w:r>
      <w:r w:rsidRPr="002F0628">
        <w:rPr>
          <w:rFonts w:asciiTheme="minorHAnsi" w:hAnsiTheme="minorHAnsi"/>
          <w:sz w:val="22"/>
          <w:szCs w:val="22"/>
        </w:rPr>
        <w:t>s reputation was dependent not only on his theoretical knowledge, but also on his manner and attitude towards his patients.</w:t>
      </w:r>
    </w:p>
    <w:p w14:paraId="01264DE5" w14:textId="77777777" w:rsidR="002F0628" w:rsidRDefault="002F0628" w:rsidP="00DD0D4A">
      <w:pPr>
        <w:spacing w:line="276" w:lineRule="auto"/>
        <w:jc w:val="both"/>
        <w:rPr>
          <w:rFonts w:asciiTheme="minorHAnsi" w:hAnsiTheme="minorHAnsi"/>
          <w:sz w:val="22"/>
          <w:szCs w:val="22"/>
        </w:rPr>
      </w:pPr>
    </w:p>
    <w:p w14:paraId="4608CD20" w14:textId="77777777" w:rsidR="009B4918" w:rsidRPr="002F0628" w:rsidRDefault="009B4918" w:rsidP="00DD0D4A">
      <w:pPr>
        <w:spacing w:line="276" w:lineRule="auto"/>
        <w:jc w:val="both"/>
        <w:rPr>
          <w:rFonts w:asciiTheme="minorHAnsi" w:hAnsiTheme="minorHAnsi"/>
          <w:sz w:val="22"/>
          <w:szCs w:val="22"/>
        </w:rPr>
      </w:pPr>
    </w:p>
    <w:p w14:paraId="358707EF" w14:textId="77777777" w:rsidR="002F0628" w:rsidRPr="002F0628" w:rsidRDefault="002F0628" w:rsidP="00DD0D4A">
      <w:pPr>
        <w:spacing w:line="276" w:lineRule="auto"/>
        <w:jc w:val="both"/>
        <w:rPr>
          <w:rFonts w:asciiTheme="minorHAnsi" w:hAnsiTheme="minorHAnsi"/>
          <w:sz w:val="22"/>
          <w:szCs w:val="22"/>
        </w:rPr>
      </w:pPr>
    </w:p>
    <w:p w14:paraId="1A2E1D86" w14:textId="77777777"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sz w:val="22"/>
          <w:szCs w:val="22"/>
        </w:rPr>
        <w:t>CLOSING SESSION: 17:15-19:15</w:t>
      </w:r>
    </w:p>
    <w:p w14:paraId="762F4A8F" w14:textId="77777777"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Chair: Iris </w:t>
      </w:r>
      <w:proofErr w:type="spellStart"/>
      <w:r w:rsidRPr="002F0628">
        <w:rPr>
          <w:rFonts w:asciiTheme="minorHAnsi" w:hAnsiTheme="minorHAnsi"/>
          <w:sz w:val="22"/>
          <w:szCs w:val="22"/>
        </w:rPr>
        <w:t>Sulimani</w:t>
      </w:r>
      <w:proofErr w:type="spellEnd"/>
      <w:r w:rsidRPr="002F0628">
        <w:rPr>
          <w:rFonts w:asciiTheme="minorHAnsi" w:hAnsiTheme="minorHAnsi"/>
          <w:sz w:val="22"/>
          <w:szCs w:val="22"/>
        </w:rPr>
        <w:t xml:space="preserve"> (Open University)</w:t>
      </w:r>
    </w:p>
    <w:p w14:paraId="0F4C4896" w14:textId="77777777" w:rsidR="002F0628" w:rsidRPr="002F0628" w:rsidRDefault="002F0628" w:rsidP="00DD0D4A">
      <w:pPr>
        <w:spacing w:line="276" w:lineRule="auto"/>
        <w:jc w:val="both"/>
        <w:rPr>
          <w:rFonts w:asciiTheme="minorHAnsi" w:hAnsiTheme="minorHAnsi"/>
          <w:sz w:val="22"/>
          <w:szCs w:val="22"/>
        </w:rPr>
      </w:pPr>
    </w:p>
    <w:p w14:paraId="7E24AF87" w14:textId="731F6217" w:rsidR="002F0628" w:rsidRPr="002F0628" w:rsidRDefault="002F0628" w:rsidP="009B4918">
      <w:pPr>
        <w:pStyle w:val="Body"/>
        <w:spacing w:line="276" w:lineRule="auto"/>
        <w:jc w:val="both"/>
        <w:rPr>
          <w:rFonts w:asciiTheme="minorHAnsi" w:eastAsia="Palatino" w:hAnsiTheme="minorHAnsi" w:cs="Palatino"/>
          <w:sz w:val="22"/>
          <w:szCs w:val="22"/>
        </w:rPr>
      </w:pPr>
      <w:r w:rsidRPr="002F0628">
        <w:rPr>
          <w:rFonts w:asciiTheme="minorHAnsi" w:hAnsiTheme="minorHAnsi"/>
          <w:sz w:val="22"/>
          <w:szCs w:val="22"/>
          <w:lang w:val="de-DE"/>
        </w:rPr>
        <w:t>Bernd Steinbock</w:t>
      </w:r>
      <w:r w:rsidR="009B4918">
        <w:rPr>
          <w:rFonts w:asciiTheme="minorHAnsi" w:hAnsiTheme="minorHAnsi"/>
          <w:sz w:val="22"/>
          <w:szCs w:val="22"/>
          <w:lang w:val="de-DE"/>
        </w:rPr>
        <w:t xml:space="preserve"> (</w:t>
      </w:r>
      <w:r w:rsidRPr="002F0628">
        <w:rPr>
          <w:rFonts w:asciiTheme="minorHAnsi" w:hAnsiTheme="minorHAnsi"/>
          <w:sz w:val="22"/>
          <w:szCs w:val="22"/>
        </w:rPr>
        <w:t>University of Western Ontario</w:t>
      </w:r>
      <w:r w:rsidR="009B4918">
        <w:rPr>
          <w:rFonts w:asciiTheme="minorHAnsi" w:hAnsiTheme="minorHAnsi"/>
          <w:sz w:val="22"/>
          <w:szCs w:val="22"/>
        </w:rPr>
        <w:t>)</w:t>
      </w:r>
    </w:p>
    <w:p w14:paraId="606EB704" w14:textId="77777777" w:rsidR="002F0628" w:rsidRPr="002F0628" w:rsidRDefault="002F0628" w:rsidP="00DD0D4A">
      <w:pPr>
        <w:pStyle w:val="Body"/>
        <w:spacing w:line="276" w:lineRule="auto"/>
        <w:jc w:val="both"/>
        <w:rPr>
          <w:rFonts w:asciiTheme="minorHAnsi" w:eastAsia="Palatino" w:hAnsiTheme="minorHAnsi" w:cs="Palatino"/>
          <w:sz w:val="22"/>
          <w:szCs w:val="22"/>
        </w:rPr>
      </w:pPr>
      <w:r w:rsidRPr="002F0628">
        <w:rPr>
          <w:rFonts w:asciiTheme="minorHAnsi" w:hAnsiTheme="minorHAnsi"/>
          <w:sz w:val="22"/>
          <w:szCs w:val="22"/>
          <w:lang w:val="nl-NL"/>
        </w:rPr>
        <w:lastRenderedPageBreak/>
        <w:t>bsteinbo@uwo.ca</w:t>
      </w:r>
    </w:p>
    <w:p w14:paraId="6F93512F" w14:textId="77777777" w:rsidR="002F0628" w:rsidRPr="002F0628" w:rsidRDefault="002F0628" w:rsidP="00DD0D4A">
      <w:pPr>
        <w:pStyle w:val="Body"/>
        <w:spacing w:line="276" w:lineRule="auto"/>
        <w:jc w:val="both"/>
        <w:rPr>
          <w:rFonts w:asciiTheme="minorHAnsi" w:eastAsia="Palatino" w:hAnsiTheme="minorHAnsi" w:cs="Palatino"/>
          <w:sz w:val="22"/>
          <w:szCs w:val="22"/>
        </w:rPr>
      </w:pPr>
    </w:p>
    <w:p w14:paraId="019E7908" w14:textId="27BC02E1" w:rsidR="002F0628" w:rsidRPr="002F0628" w:rsidRDefault="002F0628" w:rsidP="00DD0D4A">
      <w:pPr>
        <w:pStyle w:val="Body"/>
        <w:spacing w:line="276" w:lineRule="auto"/>
        <w:jc w:val="both"/>
        <w:rPr>
          <w:rFonts w:asciiTheme="minorHAnsi" w:eastAsia="Palatino" w:hAnsiTheme="minorHAnsi" w:cs="Palatino"/>
          <w:b/>
          <w:bCs/>
          <w:sz w:val="22"/>
          <w:szCs w:val="22"/>
        </w:rPr>
      </w:pPr>
      <w:r w:rsidRPr="002F0628">
        <w:rPr>
          <w:rFonts w:asciiTheme="minorHAnsi" w:hAnsiTheme="minorHAnsi"/>
          <w:b/>
          <w:bCs/>
          <w:sz w:val="22"/>
          <w:szCs w:val="22"/>
        </w:rPr>
        <w:t>Coping with Defeat: Athenian Responses t</w:t>
      </w:r>
      <w:r w:rsidR="009B4918">
        <w:rPr>
          <w:rFonts w:asciiTheme="minorHAnsi" w:hAnsiTheme="minorHAnsi"/>
          <w:b/>
          <w:bCs/>
          <w:sz w:val="22"/>
          <w:szCs w:val="22"/>
        </w:rPr>
        <w:t>o the Sicilian Expedition</w:t>
      </w:r>
    </w:p>
    <w:p w14:paraId="3203A45F" w14:textId="72C73459" w:rsidR="002F0628" w:rsidRPr="002F0628" w:rsidRDefault="002F0628" w:rsidP="00DD0D4A">
      <w:pPr>
        <w:pStyle w:val="Body"/>
        <w:spacing w:line="276" w:lineRule="auto"/>
        <w:jc w:val="both"/>
        <w:rPr>
          <w:rFonts w:asciiTheme="minorHAnsi" w:eastAsia="Palatino" w:hAnsiTheme="minorHAnsi" w:cs="Palatino"/>
          <w:sz w:val="22"/>
          <w:szCs w:val="22"/>
        </w:rPr>
      </w:pPr>
      <w:r w:rsidRPr="002F0628">
        <w:rPr>
          <w:rFonts w:asciiTheme="minorHAnsi" w:hAnsiTheme="minorHAnsi"/>
          <w:sz w:val="22"/>
          <w:szCs w:val="22"/>
        </w:rPr>
        <w:t xml:space="preserve">In light of the enormity of the Athenian disaster in Sicily (cf. </w:t>
      </w:r>
      <w:proofErr w:type="spellStart"/>
      <w:r w:rsidRPr="002F0628">
        <w:rPr>
          <w:rFonts w:asciiTheme="minorHAnsi" w:hAnsiTheme="minorHAnsi"/>
          <w:sz w:val="22"/>
          <w:szCs w:val="22"/>
        </w:rPr>
        <w:t>Thuc</w:t>
      </w:r>
      <w:proofErr w:type="spellEnd"/>
      <w:r w:rsidRPr="002F0628">
        <w:rPr>
          <w:rFonts w:asciiTheme="minorHAnsi" w:hAnsiTheme="minorHAnsi"/>
          <w:sz w:val="22"/>
          <w:szCs w:val="22"/>
        </w:rPr>
        <w:t>. 7.87.5-9) scholars have tried to explain the reasons for the Athenians</w:t>
      </w:r>
      <w:r w:rsidRPr="002F0628">
        <w:rPr>
          <w:rFonts w:asciiTheme="minorHAnsi" w:hAnsiTheme="minorHAnsi"/>
          <w:sz w:val="22"/>
          <w:szCs w:val="22"/>
          <w:lang w:val="fr-FR"/>
        </w:rPr>
        <w:t xml:space="preserve">’ </w:t>
      </w:r>
      <w:r w:rsidRPr="002F0628">
        <w:rPr>
          <w:rFonts w:asciiTheme="minorHAnsi" w:hAnsiTheme="minorHAnsi"/>
          <w:sz w:val="22"/>
          <w:szCs w:val="22"/>
        </w:rPr>
        <w:t>uncanny ability to resist their enemies for nine more years. Most of these studies focus on the Athenians</w:t>
      </w:r>
      <w:r w:rsidRPr="002F0628">
        <w:rPr>
          <w:rFonts w:asciiTheme="minorHAnsi" w:hAnsiTheme="minorHAnsi"/>
          <w:sz w:val="22"/>
          <w:szCs w:val="22"/>
          <w:lang w:val="fr-FR"/>
        </w:rPr>
        <w:t xml:space="preserve">’ </w:t>
      </w:r>
      <w:r w:rsidRPr="002F0628">
        <w:rPr>
          <w:rFonts w:asciiTheme="minorHAnsi" w:hAnsiTheme="minorHAnsi"/>
          <w:sz w:val="22"/>
          <w:szCs w:val="22"/>
        </w:rPr>
        <w:t>changes to their governmental structure and the effective mobilization of their remaining resources. This paper explores a rather neglected aspect of the Athenians</w:t>
      </w:r>
      <w:r w:rsidRPr="002F0628">
        <w:rPr>
          <w:rFonts w:asciiTheme="minorHAnsi" w:hAnsiTheme="minorHAnsi"/>
          <w:sz w:val="22"/>
          <w:szCs w:val="22"/>
          <w:lang w:val="fr-FR"/>
        </w:rPr>
        <w:t xml:space="preserve">’ </w:t>
      </w:r>
      <w:r w:rsidRPr="002F0628">
        <w:rPr>
          <w:rFonts w:asciiTheme="minorHAnsi" w:hAnsiTheme="minorHAnsi"/>
          <w:sz w:val="22"/>
          <w:szCs w:val="22"/>
        </w:rPr>
        <w:t>reaction, i.e. their psychological and commemorative responses to this devastating defeat.</w:t>
      </w:r>
    </w:p>
    <w:p w14:paraId="3E433F48" w14:textId="50C597C5"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sz w:val="22"/>
          <w:szCs w:val="22"/>
        </w:rPr>
        <w:t>I make the case that the Athenian demos reacted to this loss in two ways that are typical for communities trying to come to terms with devastating defeats, as research in social psychology and modern examples show. First, the Athenians eschewed the responsibility for this disaster by blaming scapegoats – the pro-expedition orators and oracle mongers (</w:t>
      </w:r>
      <w:proofErr w:type="spellStart"/>
      <w:r w:rsidRPr="002F0628">
        <w:rPr>
          <w:rFonts w:asciiTheme="minorHAnsi" w:hAnsiTheme="minorHAnsi"/>
          <w:sz w:val="22"/>
          <w:szCs w:val="22"/>
        </w:rPr>
        <w:t>Thuc</w:t>
      </w:r>
      <w:proofErr w:type="spellEnd"/>
      <w:r w:rsidRPr="002F0628">
        <w:rPr>
          <w:rFonts w:asciiTheme="minorHAnsi" w:hAnsiTheme="minorHAnsi"/>
          <w:sz w:val="22"/>
          <w:szCs w:val="22"/>
        </w:rPr>
        <w:t>. 8.1.1) and the general Nicias (</w:t>
      </w:r>
      <w:proofErr w:type="spellStart"/>
      <w:r w:rsidRPr="002F0628">
        <w:rPr>
          <w:rFonts w:asciiTheme="minorHAnsi" w:hAnsiTheme="minorHAnsi"/>
          <w:sz w:val="22"/>
          <w:szCs w:val="22"/>
        </w:rPr>
        <w:t>Paus</w:t>
      </w:r>
      <w:proofErr w:type="spellEnd"/>
      <w:r w:rsidRPr="002F0628">
        <w:rPr>
          <w:rFonts w:asciiTheme="minorHAnsi" w:hAnsiTheme="minorHAnsi"/>
          <w:sz w:val="22"/>
          <w:szCs w:val="22"/>
        </w:rPr>
        <w:t>. 1.29.12). Second, they transformed – in various ways – this utter defeat into a moral victory, which made the enormous loss bearable for the survivors. This is largely due to the role of the Athenian funeral orations in manifesting and transmitting a sanitized and highly idealized version of Athenian history, which conforms to the Athenians</w:t>
      </w:r>
      <w:r w:rsidRPr="002F0628">
        <w:rPr>
          <w:rFonts w:asciiTheme="minorHAnsi" w:hAnsiTheme="minorHAnsi"/>
          <w:sz w:val="22"/>
          <w:szCs w:val="22"/>
          <w:lang w:val="fr-FR"/>
        </w:rPr>
        <w:t xml:space="preserve">’ </w:t>
      </w:r>
      <w:r w:rsidRPr="002F0628">
        <w:rPr>
          <w:rFonts w:asciiTheme="minorHAnsi" w:hAnsiTheme="minorHAnsi"/>
          <w:sz w:val="22"/>
          <w:szCs w:val="22"/>
        </w:rPr>
        <w:t>self-image as brave and selfless champions of Greek liberty (</w:t>
      </w:r>
      <w:proofErr w:type="spellStart"/>
      <w:r w:rsidRPr="002F0628">
        <w:rPr>
          <w:rFonts w:asciiTheme="minorHAnsi" w:hAnsiTheme="minorHAnsi"/>
          <w:sz w:val="22"/>
          <w:szCs w:val="22"/>
        </w:rPr>
        <w:t>Loraux</w:t>
      </w:r>
      <w:proofErr w:type="spellEnd"/>
      <w:r w:rsidRPr="002F0628">
        <w:rPr>
          <w:rFonts w:asciiTheme="minorHAnsi" w:hAnsiTheme="minorHAnsi"/>
          <w:sz w:val="22"/>
          <w:szCs w:val="22"/>
        </w:rPr>
        <w:t xml:space="preserve"> 1986; Thomas 1989; </w:t>
      </w:r>
      <w:proofErr w:type="spellStart"/>
      <w:r w:rsidRPr="002F0628">
        <w:rPr>
          <w:rFonts w:asciiTheme="minorHAnsi" w:hAnsiTheme="minorHAnsi"/>
          <w:sz w:val="22"/>
          <w:szCs w:val="22"/>
        </w:rPr>
        <w:t>Gehrke</w:t>
      </w:r>
      <w:proofErr w:type="spellEnd"/>
      <w:r w:rsidRPr="002F0628">
        <w:rPr>
          <w:rFonts w:asciiTheme="minorHAnsi" w:hAnsiTheme="minorHAnsi"/>
          <w:sz w:val="22"/>
          <w:szCs w:val="22"/>
        </w:rPr>
        <w:t xml:space="preserve"> 2001; Arrington 2011; </w:t>
      </w:r>
      <w:proofErr w:type="spellStart"/>
      <w:r w:rsidRPr="002F0628">
        <w:rPr>
          <w:rFonts w:asciiTheme="minorHAnsi" w:hAnsiTheme="minorHAnsi"/>
          <w:sz w:val="22"/>
          <w:szCs w:val="22"/>
        </w:rPr>
        <w:t>Steinbock</w:t>
      </w:r>
      <w:proofErr w:type="spellEnd"/>
      <w:r w:rsidRPr="002F0628">
        <w:rPr>
          <w:rFonts w:asciiTheme="minorHAnsi" w:hAnsiTheme="minorHAnsi"/>
          <w:sz w:val="22"/>
          <w:szCs w:val="22"/>
        </w:rPr>
        <w:t xml:space="preserve"> 2012). Both in the </w:t>
      </w:r>
      <w:proofErr w:type="spellStart"/>
      <w:r w:rsidRPr="002F0628">
        <w:rPr>
          <w:rFonts w:asciiTheme="minorHAnsi" w:hAnsiTheme="minorHAnsi"/>
          <w:sz w:val="22"/>
          <w:szCs w:val="22"/>
        </w:rPr>
        <w:t>logoi</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epitaphioi</w:t>
      </w:r>
      <w:proofErr w:type="spellEnd"/>
      <w:r w:rsidRPr="002F0628">
        <w:rPr>
          <w:rFonts w:asciiTheme="minorHAnsi" w:hAnsiTheme="minorHAnsi"/>
          <w:sz w:val="22"/>
          <w:szCs w:val="22"/>
        </w:rPr>
        <w:t xml:space="preserve"> and in the funeral epigrams, the fallen of each war – and thus also the thousands of the Sicilian expedition (Pl. </w:t>
      </w:r>
      <w:proofErr w:type="spellStart"/>
      <w:r w:rsidRPr="002F0628">
        <w:rPr>
          <w:rFonts w:asciiTheme="minorHAnsi" w:hAnsiTheme="minorHAnsi"/>
          <w:sz w:val="22"/>
          <w:szCs w:val="22"/>
        </w:rPr>
        <w:t>Menex</w:t>
      </w:r>
      <w:proofErr w:type="spellEnd"/>
      <w:r w:rsidRPr="002F0628">
        <w:rPr>
          <w:rFonts w:asciiTheme="minorHAnsi" w:hAnsiTheme="minorHAnsi"/>
          <w:sz w:val="22"/>
          <w:szCs w:val="22"/>
        </w:rPr>
        <w:t xml:space="preserve">. 243a; Eur. T92 </w:t>
      </w:r>
      <w:proofErr w:type="spellStart"/>
      <w:r w:rsidRPr="002F0628">
        <w:rPr>
          <w:rFonts w:asciiTheme="minorHAnsi" w:hAnsiTheme="minorHAnsi"/>
          <w:sz w:val="22"/>
          <w:szCs w:val="22"/>
        </w:rPr>
        <w:t>Kannicht</w:t>
      </w:r>
      <w:proofErr w:type="spellEnd"/>
      <w:r w:rsidRPr="002F0628">
        <w:rPr>
          <w:rFonts w:asciiTheme="minorHAnsi" w:hAnsiTheme="minorHAnsi"/>
          <w:sz w:val="22"/>
          <w:szCs w:val="22"/>
        </w:rPr>
        <w:t>) – were celebrated as manifestations of this timeless Athenian national character. Stories of individual acts of heroism in the hour of defeat fulfilled a similar function (</w:t>
      </w:r>
      <w:proofErr w:type="spellStart"/>
      <w:r w:rsidRPr="002F0628">
        <w:rPr>
          <w:rFonts w:asciiTheme="minorHAnsi" w:hAnsiTheme="minorHAnsi"/>
          <w:sz w:val="22"/>
          <w:szCs w:val="22"/>
        </w:rPr>
        <w:t>Paus</w:t>
      </w:r>
      <w:proofErr w:type="spellEnd"/>
      <w:r w:rsidRPr="002F0628">
        <w:rPr>
          <w:rFonts w:asciiTheme="minorHAnsi" w:hAnsiTheme="minorHAnsi"/>
          <w:sz w:val="22"/>
          <w:szCs w:val="22"/>
        </w:rPr>
        <w:t>. 7.16.4-6; [Lys.] 20.24). Yet the past was not entirely at the disposal of the present; on the private and personal level, the losses were too great to be forgotten, which limited the malleability of this collective memory, as later oratorical references show (</w:t>
      </w:r>
      <w:proofErr w:type="spellStart"/>
      <w:r w:rsidRPr="002F0628">
        <w:rPr>
          <w:rFonts w:asciiTheme="minorHAnsi" w:hAnsiTheme="minorHAnsi"/>
          <w:sz w:val="22"/>
          <w:szCs w:val="22"/>
        </w:rPr>
        <w:t>Aeschin</w:t>
      </w:r>
      <w:proofErr w:type="spellEnd"/>
      <w:r w:rsidRPr="002F0628">
        <w:rPr>
          <w:rFonts w:asciiTheme="minorHAnsi" w:hAnsiTheme="minorHAnsi"/>
          <w:sz w:val="22"/>
          <w:szCs w:val="22"/>
        </w:rPr>
        <w:t>. 2.75-76).</w:t>
      </w:r>
    </w:p>
    <w:p w14:paraId="34DF73D1" w14:textId="77777777" w:rsidR="002F0628" w:rsidRPr="002F0628" w:rsidRDefault="002F0628" w:rsidP="00DD0D4A">
      <w:pPr>
        <w:spacing w:line="276" w:lineRule="auto"/>
        <w:jc w:val="both"/>
        <w:rPr>
          <w:rFonts w:asciiTheme="minorHAnsi" w:hAnsiTheme="minorHAnsi"/>
          <w:sz w:val="22"/>
          <w:szCs w:val="22"/>
        </w:rPr>
      </w:pPr>
    </w:p>
    <w:p w14:paraId="6BDEE2BF" w14:textId="77777777" w:rsidR="002F0628" w:rsidRPr="002F0628" w:rsidRDefault="002F0628" w:rsidP="00DD0D4A">
      <w:pPr>
        <w:spacing w:line="276" w:lineRule="auto"/>
        <w:jc w:val="both"/>
        <w:rPr>
          <w:rFonts w:asciiTheme="minorHAnsi" w:hAnsiTheme="minorHAnsi"/>
          <w:sz w:val="22"/>
          <w:szCs w:val="22"/>
        </w:rPr>
      </w:pPr>
    </w:p>
    <w:p w14:paraId="4F4EEA18" w14:textId="42209806" w:rsidR="002F0628" w:rsidRPr="002F0628" w:rsidRDefault="002F0628" w:rsidP="002F5542">
      <w:pPr>
        <w:pStyle w:val="Body"/>
        <w:spacing w:line="276" w:lineRule="auto"/>
        <w:jc w:val="both"/>
        <w:rPr>
          <w:rFonts w:asciiTheme="minorHAnsi" w:eastAsia="Palatino" w:hAnsiTheme="minorHAnsi" w:cs="Palatino"/>
          <w:sz w:val="22"/>
          <w:szCs w:val="22"/>
        </w:rPr>
      </w:pPr>
      <w:r w:rsidRPr="002F0628">
        <w:rPr>
          <w:rFonts w:asciiTheme="minorHAnsi" w:hAnsiTheme="minorHAnsi"/>
          <w:sz w:val="22"/>
          <w:szCs w:val="22"/>
        </w:rPr>
        <w:t xml:space="preserve">Christy </w:t>
      </w:r>
      <w:proofErr w:type="spellStart"/>
      <w:r w:rsidRPr="002F0628">
        <w:rPr>
          <w:rFonts w:asciiTheme="minorHAnsi" w:hAnsiTheme="minorHAnsi"/>
          <w:sz w:val="22"/>
          <w:szCs w:val="22"/>
        </w:rPr>
        <w:t>Constantakopoulou</w:t>
      </w:r>
      <w:proofErr w:type="spellEnd"/>
      <w:r w:rsidR="002F5542">
        <w:rPr>
          <w:rFonts w:asciiTheme="minorHAnsi" w:hAnsiTheme="minorHAnsi"/>
          <w:sz w:val="22"/>
          <w:szCs w:val="22"/>
        </w:rPr>
        <w:t xml:space="preserve"> (</w:t>
      </w:r>
      <w:proofErr w:type="spellStart"/>
      <w:r w:rsidRPr="002F0628">
        <w:rPr>
          <w:rFonts w:asciiTheme="minorHAnsi" w:hAnsiTheme="minorHAnsi"/>
          <w:sz w:val="22"/>
          <w:szCs w:val="22"/>
        </w:rPr>
        <w:t>Birkbeck</w:t>
      </w:r>
      <w:proofErr w:type="spellEnd"/>
      <w:r w:rsidRPr="002F0628">
        <w:rPr>
          <w:rFonts w:asciiTheme="minorHAnsi" w:hAnsiTheme="minorHAnsi"/>
          <w:sz w:val="22"/>
          <w:szCs w:val="22"/>
        </w:rPr>
        <w:t xml:space="preserve"> College, London</w:t>
      </w:r>
      <w:r w:rsidR="002F5542">
        <w:rPr>
          <w:rFonts w:asciiTheme="minorHAnsi" w:hAnsiTheme="minorHAnsi"/>
          <w:sz w:val="22"/>
          <w:szCs w:val="22"/>
        </w:rPr>
        <w:t>)</w:t>
      </w:r>
    </w:p>
    <w:p w14:paraId="21776CC4"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roofErr w:type="gramStart"/>
      <w:r w:rsidRPr="002F0628">
        <w:rPr>
          <w:rFonts w:asciiTheme="minorHAnsi" w:hAnsiTheme="minorHAnsi"/>
          <w:color w:val="000000"/>
          <w:sz w:val="22"/>
          <w:szCs w:val="22"/>
        </w:rPr>
        <w:t>c</w:t>
      </w:r>
      <w:proofErr w:type="gramEnd"/>
      <w:r w:rsidRPr="002F0628">
        <w:rPr>
          <w:rFonts w:asciiTheme="minorHAnsi" w:hAnsiTheme="minorHAnsi"/>
          <w:color w:val="000000"/>
          <w:sz w:val="22"/>
          <w:szCs w:val="22"/>
        </w:rPr>
        <w:t>.constantakopoulou@bbk.ac.uk</w:t>
      </w:r>
    </w:p>
    <w:p w14:paraId="7D947111" w14:textId="77777777" w:rsidR="002F0628" w:rsidRPr="002F0628" w:rsidRDefault="002F0628" w:rsidP="00DD0D4A">
      <w:pPr>
        <w:pStyle w:val="Body"/>
        <w:spacing w:line="276" w:lineRule="auto"/>
        <w:jc w:val="both"/>
        <w:rPr>
          <w:rFonts w:asciiTheme="minorHAnsi" w:eastAsia="Palatino" w:hAnsiTheme="minorHAnsi" w:cs="Palatino"/>
          <w:b/>
          <w:bCs/>
          <w:sz w:val="22"/>
          <w:szCs w:val="22"/>
        </w:rPr>
      </w:pPr>
    </w:p>
    <w:p w14:paraId="42C29F86" w14:textId="77777777" w:rsidR="002F0628" w:rsidRPr="002F0628" w:rsidRDefault="002F0628" w:rsidP="00DD0D4A">
      <w:pPr>
        <w:pStyle w:val="Body"/>
        <w:spacing w:line="276" w:lineRule="auto"/>
        <w:jc w:val="both"/>
        <w:rPr>
          <w:rFonts w:asciiTheme="minorHAnsi" w:eastAsia="Palatino" w:hAnsiTheme="minorHAnsi" w:cs="Palatino"/>
          <w:b/>
          <w:bCs/>
          <w:sz w:val="22"/>
          <w:szCs w:val="22"/>
        </w:rPr>
      </w:pPr>
      <w:r w:rsidRPr="002F0628">
        <w:rPr>
          <w:rFonts w:asciiTheme="minorHAnsi" w:hAnsiTheme="minorHAnsi"/>
          <w:b/>
          <w:bCs/>
          <w:sz w:val="22"/>
          <w:szCs w:val="22"/>
        </w:rPr>
        <w:t xml:space="preserve">The Social Dynamics of Dedication: The </w:t>
      </w:r>
      <w:proofErr w:type="spellStart"/>
      <w:r w:rsidRPr="002F0628">
        <w:rPr>
          <w:rFonts w:asciiTheme="minorHAnsi" w:hAnsiTheme="minorHAnsi"/>
          <w:b/>
          <w:bCs/>
          <w:sz w:val="22"/>
          <w:szCs w:val="22"/>
        </w:rPr>
        <w:t>Delian</w:t>
      </w:r>
      <w:proofErr w:type="spellEnd"/>
      <w:r w:rsidRPr="002F0628">
        <w:rPr>
          <w:rFonts w:asciiTheme="minorHAnsi" w:hAnsiTheme="minorHAnsi"/>
          <w:b/>
          <w:bCs/>
          <w:sz w:val="22"/>
          <w:szCs w:val="22"/>
        </w:rPr>
        <w:t xml:space="preserve"> Inventories of the Third Century.</w:t>
      </w:r>
    </w:p>
    <w:p w14:paraId="144ADE07" w14:textId="12CB61F1" w:rsidR="002F0628" w:rsidRPr="002F0628" w:rsidRDefault="002F0628" w:rsidP="00DD0D4A">
      <w:pPr>
        <w:spacing w:line="276" w:lineRule="auto"/>
        <w:jc w:val="both"/>
        <w:rPr>
          <w:rFonts w:asciiTheme="minorHAnsi" w:hAnsiTheme="minorHAnsi"/>
          <w:sz w:val="22"/>
          <w:szCs w:val="22"/>
        </w:rPr>
      </w:pPr>
      <w:r w:rsidRPr="002F0628">
        <w:rPr>
          <w:rFonts w:asciiTheme="minorHAnsi" w:hAnsiTheme="minorHAnsi"/>
          <w:sz w:val="22"/>
          <w:szCs w:val="22"/>
        </w:rPr>
        <w:t xml:space="preserve">This paper will explore the social dynamics of dedication, as they are reflected in the dedications recorded in the </w:t>
      </w:r>
      <w:proofErr w:type="spellStart"/>
      <w:r w:rsidRPr="002F0628">
        <w:rPr>
          <w:rFonts w:asciiTheme="minorHAnsi" w:hAnsiTheme="minorHAnsi"/>
          <w:sz w:val="22"/>
          <w:szCs w:val="22"/>
        </w:rPr>
        <w:t>Delian</w:t>
      </w:r>
      <w:proofErr w:type="spellEnd"/>
      <w:r w:rsidRPr="002F0628">
        <w:rPr>
          <w:rFonts w:asciiTheme="minorHAnsi" w:hAnsiTheme="minorHAnsi"/>
          <w:sz w:val="22"/>
          <w:szCs w:val="22"/>
        </w:rPr>
        <w:t xml:space="preserve"> inventories during the third century BC. The </w:t>
      </w:r>
      <w:proofErr w:type="spellStart"/>
      <w:r w:rsidRPr="002F0628">
        <w:rPr>
          <w:rFonts w:asciiTheme="minorHAnsi" w:hAnsiTheme="minorHAnsi"/>
          <w:sz w:val="22"/>
          <w:szCs w:val="22"/>
        </w:rPr>
        <w:t>Delian</w:t>
      </w:r>
      <w:proofErr w:type="spellEnd"/>
      <w:r w:rsidRPr="002F0628">
        <w:rPr>
          <w:rFonts w:asciiTheme="minorHAnsi" w:hAnsiTheme="minorHAnsi"/>
          <w:sz w:val="22"/>
          <w:szCs w:val="22"/>
        </w:rPr>
        <w:t xml:space="preserve"> practice of annually producing inventories of dedications is quite exceptional. Very few sanctuaries produce regular publication of their inventories; the practice is restricted to Athens and Attica, Delos, and to a lesser extent </w:t>
      </w:r>
      <w:proofErr w:type="spellStart"/>
      <w:r w:rsidRPr="002F0628">
        <w:rPr>
          <w:rFonts w:asciiTheme="minorHAnsi" w:hAnsiTheme="minorHAnsi"/>
          <w:sz w:val="22"/>
          <w:szCs w:val="22"/>
        </w:rPr>
        <w:t>Didyma</w:t>
      </w:r>
      <w:proofErr w:type="spellEnd"/>
      <w:r w:rsidRPr="002F0628">
        <w:rPr>
          <w:rFonts w:asciiTheme="minorHAnsi" w:hAnsiTheme="minorHAnsi"/>
          <w:sz w:val="22"/>
          <w:szCs w:val="22"/>
        </w:rPr>
        <w:t xml:space="preserve">. The inventories of Athenian and Attic sanctuaries have attracted considerable attention in modern scholarship. However, the same kind of analysis has not been applied to the </w:t>
      </w:r>
      <w:proofErr w:type="spellStart"/>
      <w:r w:rsidRPr="002F0628">
        <w:rPr>
          <w:rFonts w:asciiTheme="minorHAnsi" w:hAnsiTheme="minorHAnsi"/>
          <w:sz w:val="22"/>
          <w:szCs w:val="22"/>
        </w:rPr>
        <w:t>Delian</w:t>
      </w:r>
      <w:proofErr w:type="spellEnd"/>
      <w:r w:rsidRPr="002F0628">
        <w:rPr>
          <w:rFonts w:asciiTheme="minorHAnsi" w:hAnsiTheme="minorHAnsi"/>
          <w:sz w:val="22"/>
          <w:szCs w:val="22"/>
        </w:rPr>
        <w:t xml:space="preserve"> inventories. While the </w:t>
      </w:r>
      <w:proofErr w:type="spellStart"/>
      <w:r w:rsidRPr="002F0628">
        <w:rPr>
          <w:rFonts w:asciiTheme="minorHAnsi" w:hAnsiTheme="minorHAnsi"/>
          <w:sz w:val="22"/>
          <w:szCs w:val="22"/>
        </w:rPr>
        <w:t>Delian</w:t>
      </w:r>
      <w:proofErr w:type="spellEnd"/>
      <w:r w:rsidRPr="002F0628">
        <w:rPr>
          <w:rFonts w:asciiTheme="minorHAnsi" w:hAnsiTheme="minorHAnsi"/>
          <w:sz w:val="22"/>
          <w:szCs w:val="22"/>
        </w:rPr>
        <w:t xml:space="preserve"> inventories have been studied in order to discuss their purpose (</w:t>
      </w:r>
      <w:proofErr w:type="spellStart"/>
      <w:r w:rsidRPr="002F0628">
        <w:rPr>
          <w:rFonts w:asciiTheme="minorHAnsi" w:hAnsiTheme="minorHAnsi"/>
          <w:sz w:val="22"/>
          <w:szCs w:val="22"/>
        </w:rPr>
        <w:t>Linders</w:t>
      </w:r>
      <w:proofErr w:type="spellEnd"/>
      <w:r w:rsidRPr="002F0628">
        <w:rPr>
          <w:rFonts w:asciiTheme="minorHAnsi" w:hAnsiTheme="minorHAnsi"/>
          <w:sz w:val="22"/>
          <w:szCs w:val="22"/>
        </w:rPr>
        <w:t>, Hamilton), issues of literacy (</w:t>
      </w:r>
      <w:proofErr w:type="spellStart"/>
      <w:r w:rsidRPr="002F0628">
        <w:rPr>
          <w:rFonts w:asciiTheme="minorHAnsi" w:hAnsiTheme="minorHAnsi"/>
          <w:sz w:val="22"/>
          <w:szCs w:val="22"/>
        </w:rPr>
        <w:t>Linders</w:t>
      </w:r>
      <w:proofErr w:type="spellEnd"/>
      <w:r w:rsidRPr="002F0628">
        <w:rPr>
          <w:rFonts w:asciiTheme="minorHAnsi" w:hAnsiTheme="minorHAnsi"/>
          <w:sz w:val="22"/>
          <w:szCs w:val="22"/>
        </w:rPr>
        <w:t>), commodities (</w:t>
      </w:r>
      <w:proofErr w:type="spellStart"/>
      <w:r w:rsidRPr="002F0628">
        <w:rPr>
          <w:rFonts w:asciiTheme="minorHAnsi" w:hAnsiTheme="minorHAnsi"/>
          <w:sz w:val="22"/>
          <w:szCs w:val="22"/>
        </w:rPr>
        <w:t>Reger</w:t>
      </w:r>
      <w:proofErr w:type="spellEnd"/>
      <w:r w:rsidRPr="002F0628">
        <w:rPr>
          <w:rFonts w:asciiTheme="minorHAnsi" w:hAnsiTheme="minorHAnsi"/>
          <w:sz w:val="22"/>
          <w:szCs w:val="22"/>
        </w:rPr>
        <w:t xml:space="preserve">, </w:t>
      </w:r>
      <w:proofErr w:type="spellStart"/>
      <w:r w:rsidRPr="002F0628">
        <w:rPr>
          <w:rFonts w:asciiTheme="minorHAnsi" w:hAnsiTheme="minorHAnsi"/>
          <w:sz w:val="22"/>
          <w:szCs w:val="22"/>
        </w:rPr>
        <w:t>Chankowski</w:t>
      </w:r>
      <w:proofErr w:type="spellEnd"/>
      <w:r w:rsidRPr="002F0628">
        <w:rPr>
          <w:rFonts w:asciiTheme="minorHAnsi" w:hAnsiTheme="minorHAnsi"/>
          <w:sz w:val="22"/>
          <w:szCs w:val="22"/>
        </w:rPr>
        <w:t>), history of objects (</w:t>
      </w:r>
      <w:proofErr w:type="spellStart"/>
      <w:r w:rsidRPr="002F0628">
        <w:rPr>
          <w:rFonts w:asciiTheme="minorHAnsi" w:hAnsiTheme="minorHAnsi"/>
          <w:sz w:val="22"/>
          <w:szCs w:val="22"/>
        </w:rPr>
        <w:t>Pr</w:t>
      </w:r>
      <w:proofErr w:type="spellEnd"/>
      <w:r w:rsidRPr="002F0628">
        <w:rPr>
          <w:rFonts w:asciiTheme="minorHAnsi" w:hAnsiTheme="minorHAnsi"/>
          <w:sz w:val="22"/>
          <w:szCs w:val="22"/>
          <w:lang w:val="fr-FR"/>
        </w:rPr>
        <w:t>ê</w:t>
      </w:r>
      <w:proofErr w:type="spellStart"/>
      <w:r w:rsidRPr="002F0628">
        <w:rPr>
          <w:rFonts w:asciiTheme="minorHAnsi" w:hAnsiTheme="minorHAnsi"/>
          <w:sz w:val="22"/>
          <w:szCs w:val="22"/>
        </w:rPr>
        <w:t>tre</w:t>
      </w:r>
      <w:proofErr w:type="spellEnd"/>
      <w:r w:rsidRPr="002F0628">
        <w:rPr>
          <w:rFonts w:asciiTheme="minorHAnsi" w:hAnsiTheme="minorHAnsi"/>
          <w:sz w:val="22"/>
          <w:szCs w:val="22"/>
        </w:rPr>
        <w:t xml:space="preserve">), the overall structure of the administration of the sanctuary (Vial, </w:t>
      </w:r>
      <w:proofErr w:type="spellStart"/>
      <w:r w:rsidRPr="002F0628">
        <w:rPr>
          <w:rFonts w:asciiTheme="minorHAnsi" w:hAnsiTheme="minorHAnsi"/>
          <w:sz w:val="22"/>
          <w:szCs w:val="22"/>
        </w:rPr>
        <w:t>Chankowski</w:t>
      </w:r>
      <w:proofErr w:type="spellEnd"/>
      <w:r w:rsidRPr="002F0628">
        <w:rPr>
          <w:rFonts w:asciiTheme="minorHAnsi" w:hAnsiTheme="minorHAnsi"/>
          <w:sz w:val="22"/>
          <w:szCs w:val="22"/>
        </w:rPr>
        <w:t>), and the date of establishment of festivals, especially royal festivals (</w:t>
      </w:r>
      <w:proofErr w:type="spellStart"/>
      <w:r w:rsidRPr="002F0628">
        <w:rPr>
          <w:rFonts w:asciiTheme="minorHAnsi" w:hAnsiTheme="minorHAnsi"/>
          <w:sz w:val="22"/>
          <w:szCs w:val="22"/>
        </w:rPr>
        <w:t>Bruneau</w:t>
      </w:r>
      <w:proofErr w:type="spellEnd"/>
      <w:r w:rsidRPr="002F0628">
        <w:rPr>
          <w:rFonts w:asciiTheme="minorHAnsi" w:hAnsiTheme="minorHAnsi"/>
          <w:sz w:val="22"/>
          <w:szCs w:val="22"/>
        </w:rPr>
        <w:t xml:space="preserve">), no one has ever attempted to use them in order to examine the social dynamics of dedication. The inventories of the period of Independence provide us with a great amount of information about the objects dedicated to the </w:t>
      </w:r>
      <w:proofErr w:type="spellStart"/>
      <w:r w:rsidRPr="002F0628">
        <w:rPr>
          <w:rFonts w:asciiTheme="minorHAnsi" w:hAnsiTheme="minorHAnsi"/>
          <w:sz w:val="22"/>
          <w:szCs w:val="22"/>
        </w:rPr>
        <w:t>Delian</w:t>
      </w:r>
      <w:proofErr w:type="spellEnd"/>
      <w:r w:rsidRPr="002F0628">
        <w:rPr>
          <w:rFonts w:asciiTheme="minorHAnsi" w:hAnsiTheme="minorHAnsi"/>
          <w:sz w:val="22"/>
          <w:szCs w:val="22"/>
        </w:rPr>
        <w:t xml:space="preserve"> deities: we get the name of the object, and in some cases we get additional information, such as the name of the </w:t>
      </w:r>
      <w:proofErr w:type="spellStart"/>
      <w:r w:rsidRPr="002F0628">
        <w:rPr>
          <w:rFonts w:asciiTheme="minorHAnsi" w:hAnsiTheme="minorHAnsi"/>
          <w:sz w:val="22"/>
          <w:szCs w:val="22"/>
        </w:rPr>
        <w:t>dedicant</w:t>
      </w:r>
      <w:proofErr w:type="spellEnd"/>
      <w:r w:rsidRPr="002F0628">
        <w:rPr>
          <w:rFonts w:asciiTheme="minorHAnsi" w:hAnsiTheme="minorHAnsi"/>
          <w:sz w:val="22"/>
          <w:szCs w:val="22"/>
        </w:rPr>
        <w:t xml:space="preserve">, the patronymic, the ethnic, a description of the object, the material of the object (gold, silver, ivory etc.), the weight, the state of preservation (broken, partially incomplete etc.), any inscriptions on the object itself, the deity to whom it was dedicated, and the purpose of its dedication. Through an analysis of the records of dedication of the third century, I shall aim to reconstruct the social, gender, and community/ethnic background of the </w:t>
      </w:r>
      <w:proofErr w:type="spellStart"/>
      <w:r w:rsidRPr="002F0628">
        <w:rPr>
          <w:rFonts w:asciiTheme="minorHAnsi" w:hAnsiTheme="minorHAnsi"/>
          <w:sz w:val="22"/>
          <w:szCs w:val="22"/>
        </w:rPr>
        <w:t>dedicants</w:t>
      </w:r>
      <w:proofErr w:type="spellEnd"/>
      <w:r w:rsidRPr="002F0628">
        <w:rPr>
          <w:rFonts w:asciiTheme="minorHAnsi" w:hAnsiTheme="minorHAnsi"/>
          <w:sz w:val="22"/>
          <w:szCs w:val="22"/>
        </w:rPr>
        <w:t xml:space="preserve">. In addition, I shall explore individual and </w:t>
      </w:r>
      <w:r w:rsidRPr="002F0628">
        <w:rPr>
          <w:rFonts w:asciiTheme="minorHAnsi" w:hAnsiTheme="minorHAnsi"/>
          <w:sz w:val="22"/>
          <w:szCs w:val="22"/>
        </w:rPr>
        <w:lastRenderedPageBreak/>
        <w:t xml:space="preserve">collective dynamics: how many individuals as opposed to collective communities or groups are dedicating objects; distance as a factor for the creation of the cult network: how many </w:t>
      </w:r>
      <w:proofErr w:type="spellStart"/>
      <w:r w:rsidRPr="002F0628">
        <w:rPr>
          <w:rFonts w:asciiTheme="minorHAnsi" w:hAnsiTheme="minorHAnsi"/>
          <w:sz w:val="22"/>
          <w:szCs w:val="22"/>
        </w:rPr>
        <w:t>dedicants</w:t>
      </w:r>
      <w:proofErr w:type="spellEnd"/>
      <w:r w:rsidRPr="002F0628">
        <w:rPr>
          <w:rFonts w:asciiTheme="minorHAnsi" w:hAnsiTheme="minorHAnsi"/>
          <w:sz w:val="22"/>
          <w:szCs w:val="22"/>
        </w:rPr>
        <w:t xml:space="preserve"> come from Delos or </w:t>
      </w:r>
      <w:proofErr w:type="spellStart"/>
      <w:r w:rsidRPr="002F0628">
        <w:rPr>
          <w:rFonts w:asciiTheme="minorHAnsi" w:hAnsiTheme="minorHAnsi"/>
          <w:sz w:val="22"/>
          <w:szCs w:val="22"/>
        </w:rPr>
        <w:t>neighbouring</w:t>
      </w:r>
      <w:proofErr w:type="spellEnd"/>
      <w:r w:rsidRPr="002F0628">
        <w:rPr>
          <w:rFonts w:asciiTheme="minorHAnsi" w:hAnsiTheme="minorHAnsi"/>
          <w:sz w:val="22"/>
          <w:szCs w:val="22"/>
        </w:rPr>
        <w:t xml:space="preserve"> islands as opposed to those from further away; and finally, class/status dynamics and the overall profile of the </w:t>
      </w:r>
      <w:proofErr w:type="spellStart"/>
      <w:r w:rsidRPr="002F0628">
        <w:rPr>
          <w:rFonts w:asciiTheme="minorHAnsi" w:hAnsiTheme="minorHAnsi"/>
          <w:sz w:val="22"/>
          <w:szCs w:val="22"/>
        </w:rPr>
        <w:t>dedicants</w:t>
      </w:r>
      <w:proofErr w:type="spellEnd"/>
      <w:r w:rsidRPr="002F0628">
        <w:rPr>
          <w:rFonts w:asciiTheme="minorHAnsi" w:hAnsiTheme="minorHAnsi"/>
          <w:sz w:val="22"/>
          <w:szCs w:val="22"/>
        </w:rPr>
        <w:t xml:space="preserve">: how many belonged to royal circles, or were closely associated to royalty as opposed to virtually unknown </w:t>
      </w:r>
      <w:proofErr w:type="spellStart"/>
      <w:r w:rsidRPr="002F0628">
        <w:rPr>
          <w:rFonts w:asciiTheme="minorHAnsi" w:hAnsiTheme="minorHAnsi"/>
          <w:sz w:val="22"/>
          <w:szCs w:val="22"/>
        </w:rPr>
        <w:t>dedicants</w:t>
      </w:r>
      <w:proofErr w:type="spellEnd"/>
      <w:r w:rsidRPr="002F0628">
        <w:rPr>
          <w:rFonts w:asciiTheme="minorHAnsi" w:hAnsiTheme="minorHAnsi"/>
          <w:sz w:val="22"/>
          <w:szCs w:val="22"/>
        </w:rPr>
        <w:t xml:space="preserve">? Beyond the history of the Hellenistic kings and officials, the </w:t>
      </w:r>
      <w:proofErr w:type="spellStart"/>
      <w:r w:rsidRPr="002F0628">
        <w:rPr>
          <w:rFonts w:asciiTheme="minorHAnsi" w:hAnsiTheme="minorHAnsi"/>
          <w:sz w:val="22"/>
          <w:szCs w:val="22"/>
        </w:rPr>
        <w:t>Delian</w:t>
      </w:r>
      <w:proofErr w:type="spellEnd"/>
      <w:r w:rsidRPr="002F0628">
        <w:rPr>
          <w:rFonts w:asciiTheme="minorHAnsi" w:hAnsiTheme="minorHAnsi"/>
          <w:sz w:val="22"/>
          <w:szCs w:val="22"/>
        </w:rPr>
        <w:t xml:space="preserve"> inventories allow us a rare opportunity to glimpse everyday men and women engaging in an act of pilgrimage and piety.</w:t>
      </w:r>
    </w:p>
    <w:p w14:paraId="31B1FD30" w14:textId="77777777" w:rsidR="002F0628" w:rsidRPr="002F0628" w:rsidRDefault="002F0628" w:rsidP="00DD0D4A">
      <w:pPr>
        <w:spacing w:line="276" w:lineRule="auto"/>
        <w:jc w:val="both"/>
        <w:rPr>
          <w:rFonts w:asciiTheme="minorHAnsi" w:hAnsiTheme="minorHAnsi"/>
          <w:sz w:val="22"/>
          <w:szCs w:val="22"/>
        </w:rPr>
      </w:pPr>
    </w:p>
    <w:p w14:paraId="54FAB9AD" w14:textId="77777777" w:rsidR="002F0628" w:rsidRPr="002F0628" w:rsidRDefault="002F0628" w:rsidP="00DD0D4A">
      <w:pPr>
        <w:spacing w:line="276" w:lineRule="auto"/>
        <w:jc w:val="both"/>
        <w:rPr>
          <w:rFonts w:asciiTheme="minorHAnsi" w:hAnsiTheme="minorHAnsi"/>
          <w:sz w:val="22"/>
          <w:szCs w:val="22"/>
        </w:rPr>
      </w:pPr>
    </w:p>
    <w:p w14:paraId="0A3036F9" w14:textId="0CB567F1" w:rsid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olor w:val="000000"/>
          <w:sz w:val="22"/>
          <w:szCs w:val="22"/>
        </w:rPr>
      </w:pPr>
      <w:proofErr w:type="spellStart"/>
      <w:r w:rsidRPr="002F0628">
        <w:rPr>
          <w:rFonts w:asciiTheme="minorHAnsi" w:hAnsiTheme="minorHAnsi"/>
          <w:color w:val="000000"/>
          <w:sz w:val="22"/>
          <w:szCs w:val="22"/>
        </w:rPr>
        <w:t>Grzesik</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Dominika</w:t>
      </w:r>
      <w:proofErr w:type="spellEnd"/>
      <w:r w:rsidRPr="002F0628">
        <w:rPr>
          <w:rFonts w:asciiTheme="minorHAnsi" w:hAnsiTheme="minorHAnsi"/>
          <w:color w:val="000000"/>
          <w:sz w:val="22"/>
          <w:szCs w:val="22"/>
        </w:rPr>
        <w:t xml:space="preserve"> </w:t>
      </w:r>
      <w:r w:rsidR="002F5542">
        <w:rPr>
          <w:rFonts w:asciiTheme="minorHAnsi" w:hAnsiTheme="minorHAnsi"/>
          <w:color w:val="000000"/>
          <w:sz w:val="22"/>
          <w:szCs w:val="22"/>
        </w:rPr>
        <w:t>(</w:t>
      </w:r>
      <w:r w:rsidRPr="002F0628">
        <w:rPr>
          <w:rFonts w:asciiTheme="minorHAnsi" w:hAnsiTheme="minorHAnsi"/>
          <w:color w:val="000000"/>
          <w:sz w:val="22"/>
          <w:szCs w:val="22"/>
        </w:rPr>
        <w:t>University of Liverpool</w:t>
      </w:r>
      <w:r w:rsidR="002F5542">
        <w:rPr>
          <w:rFonts w:asciiTheme="minorHAnsi" w:hAnsiTheme="minorHAnsi"/>
          <w:color w:val="000000"/>
          <w:sz w:val="22"/>
          <w:szCs w:val="22"/>
        </w:rPr>
        <w:t xml:space="preserve"> / University of Wroclaw</w:t>
      </w:r>
      <w:r w:rsidRPr="002F0628">
        <w:rPr>
          <w:rFonts w:asciiTheme="minorHAnsi" w:hAnsiTheme="minorHAnsi"/>
          <w:color w:val="000000"/>
          <w:sz w:val="22"/>
          <w:szCs w:val="22"/>
        </w:rPr>
        <w:t>)</w:t>
      </w:r>
    </w:p>
    <w:p w14:paraId="26614D7D" w14:textId="7DE66C14" w:rsidR="002F5542" w:rsidRPr="002F0628" w:rsidRDefault="002F5542"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Pr>
          <w:rFonts w:asciiTheme="minorHAnsi" w:hAnsiTheme="minorHAnsi"/>
          <w:color w:val="000000"/>
          <w:sz w:val="22"/>
          <w:szCs w:val="22"/>
        </w:rPr>
        <w:t>D.Grzesik@liverpool.ac.uk</w:t>
      </w:r>
    </w:p>
    <w:p w14:paraId="4D26C13C"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p>
    <w:p w14:paraId="62CFEEF1" w14:textId="6900672C"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color w:val="000000"/>
          <w:sz w:val="22"/>
          <w:szCs w:val="22"/>
        </w:rPr>
      </w:pPr>
      <w:r w:rsidRPr="002F0628">
        <w:rPr>
          <w:rFonts w:asciiTheme="minorHAnsi" w:hAnsiTheme="minorHAnsi"/>
          <w:b/>
          <w:bCs/>
          <w:color w:val="000000"/>
          <w:sz w:val="22"/>
          <w:szCs w:val="22"/>
        </w:rPr>
        <w:t xml:space="preserve">The </w:t>
      </w:r>
      <w:r w:rsidR="002F5542">
        <w:rPr>
          <w:rFonts w:asciiTheme="minorHAnsi" w:hAnsiTheme="minorHAnsi"/>
          <w:b/>
          <w:bCs/>
          <w:color w:val="000000"/>
          <w:sz w:val="22"/>
          <w:szCs w:val="22"/>
        </w:rPr>
        <w:t>M</w:t>
      </w:r>
      <w:r w:rsidRPr="002F0628">
        <w:rPr>
          <w:rFonts w:asciiTheme="minorHAnsi" w:hAnsiTheme="minorHAnsi"/>
          <w:b/>
          <w:bCs/>
          <w:color w:val="000000"/>
          <w:sz w:val="22"/>
          <w:szCs w:val="22"/>
        </w:rPr>
        <w:t xml:space="preserve">ost </w:t>
      </w:r>
      <w:r w:rsidR="002F5542">
        <w:rPr>
          <w:rFonts w:asciiTheme="minorHAnsi" w:hAnsiTheme="minorHAnsi"/>
          <w:b/>
          <w:bCs/>
          <w:color w:val="000000"/>
          <w:sz w:val="22"/>
          <w:szCs w:val="22"/>
        </w:rPr>
        <w:t>P</w:t>
      </w:r>
      <w:r w:rsidRPr="002F0628">
        <w:rPr>
          <w:rFonts w:asciiTheme="minorHAnsi" w:hAnsiTheme="minorHAnsi"/>
          <w:b/>
          <w:bCs/>
          <w:color w:val="000000"/>
          <w:sz w:val="22"/>
          <w:szCs w:val="22"/>
        </w:rPr>
        <w:t xml:space="preserve">rominent </w:t>
      </w:r>
      <w:proofErr w:type="spellStart"/>
      <w:r w:rsidR="002F5542">
        <w:rPr>
          <w:rFonts w:asciiTheme="minorHAnsi" w:hAnsiTheme="minorHAnsi"/>
          <w:b/>
          <w:bCs/>
          <w:color w:val="000000"/>
          <w:sz w:val="22"/>
          <w:szCs w:val="22"/>
        </w:rPr>
        <w:t>Honorands</w:t>
      </w:r>
      <w:proofErr w:type="spellEnd"/>
      <w:r w:rsidR="002F5542">
        <w:rPr>
          <w:rFonts w:asciiTheme="minorHAnsi" w:hAnsiTheme="minorHAnsi"/>
          <w:b/>
          <w:bCs/>
          <w:color w:val="000000"/>
          <w:sz w:val="22"/>
          <w:szCs w:val="22"/>
        </w:rPr>
        <w:t xml:space="preserve"> in Delphic D</w:t>
      </w:r>
      <w:r w:rsidRPr="002F0628">
        <w:rPr>
          <w:rFonts w:asciiTheme="minorHAnsi" w:hAnsiTheme="minorHAnsi"/>
          <w:b/>
          <w:bCs/>
          <w:color w:val="000000"/>
          <w:sz w:val="22"/>
          <w:szCs w:val="22"/>
        </w:rPr>
        <w:t>ecrees</w:t>
      </w:r>
    </w:p>
    <w:p w14:paraId="6A6D8829" w14:textId="77777777" w:rsidR="002F0628" w:rsidRPr="002F0628" w:rsidRDefault="002F0628"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color w:val="000000"/>
          <w:sz w:val="22"/>
          <w:szCs w:val="22"/>
        </w:rPr>
      </w:pPr>
      <w:r w:rsidRPr="002F0628">
        <w:rPr>
          <w:rFonts w:asciiTheme="minorHAnsi" w:hAnsiTheme="minorHAnsi"/>
          <w:color w:val="000000"/>
          <w:sz w:val="22"/>
          <w:szCs w:val="22"/>
        </w:rPr>
        <w:t xml:space="preserve">The aim of my paper will be to present the most prominent people </w:t>
      </w:r>
      <w:proofErr w:type="spellStart"/>
      <w:r w:rsidRPr="002F0628">
        <w:rPr>
          <w:rFonts w:asciiTheme="minorHAnsi" w:hAnsiTheme="minorHAnsi"/>
          <w:color w:val="000000"/>
          <w:sz w:val="22"/>
          <w:szCs w:val="22"/>
        </w:rPr>
        <w:t>honoured</w:t>
      </w:r>
      <w:proofErr w:type="spellEnd"/>
      <w:r w:rsidRPr="002F0628">
        <w:rPr>
          <w:rFonts w:asciiTheme="minorHAnsi" w:hAnsiTheme="minorHAnsi"/>
          <w:color w:val="000000"/>
          <w:sz w:val="22"/>
          <w:szCs w:val="22"/>
        </w:rPr>
        <w:t xml:space="preserve"> in Delphic decrees in Hellenistic and Roman periods. The main purpose and intention toward which the efforts were directed was to analyze the status of the </w:t>
      </w:r>
      <w:proofErr w:type="spellStart"/>
      <w:r w:rsidRPr="002F0628">
        <w:rPr>
          <w:rFonts w:asciiTheme="minorHAnsi" w:hAnsiTheme="minorHAnsi"/>
          <w:color w:val="000000"/>
          <w:sz w:val="22"/>
          <w:szCs w:val="22"/>
        </w:rPr>
        <w:t>honoured</w:t>
      </w:r>
      <w:proofErr w:type="spellEnd"/>
      <w:r w:rsidRPr="002F0628">
        <w:rPr>
          <w:rFonts w:asciiTheme="minorHAnsi" w:hAnsiTheme="minorHAnsi"/>
          <w:color w:val="000000"/>
          <w:sz w:val="22"/>
          <w:szCs w:val="22"/>
        </w:rPr>
        <w:t xml:space="preserve"> persons – citizens, foreigners or freedmen; and the categories of recipients – kings, emperors, senators, military commanders, magistrates, artists, athletes, and intellectuals. After examining over 1000 decrees it is apparent that the </w:t>
      </w:r>
      <w:proofErr w:type="spellStart"/>
      <w:r w:rsidRPr="002F0628">
        <w:rPr>
          <w:rFonts w:asciiTheme="minorHAnsi" w:hAnsiTheme="minorHAnsi"/>
          <w:color w:val="000000"/>
          <w:sz w:val="22"/>
          <w:szCs w:val="22"/>
        </w:rPr>
        <w:t>Delphians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honoured</w:t>
      </w:r>
      <w:proofErr w:type="spellEnd"/>
      <w:r w:rsidRPr="002F0628">
        <w:rPr>
          <w:rFonts w:asciiTheme="minorHAnsi" w:hAnsiTheme="minorHAnsi"/>
          <w:color w:val="000000"/>
          <w:sz w:val="22"/>
          <w:szCs w:val="22"/>
        </w:rPr>
        <w:t xml:space="preserve"> people from many areas of the ancient world. Among the </w:t>
      </w:r>
      <w:proofErr w:type="spellStart"/>
      <w:r w:rsidRPr="002F0628">
        <w:rPr>
          <w:rFonts w:asciiTheme="minorHAnsi" w:hAnsiTheme="minorHAnsi"/>
          <w:color w:val="000000"/>
          <w:sz w:val="22"/>
          <w:szCs w:val="22"/>
        </w:rPr>
        <w:t>honorands</w:t>
      </w:r>
      <w:proofErr w:type="spellEnd"/>
      <w:r w:rsidRPr="002F0628">
        <w:rPr>
          <w:rFonts w:asciiTheme="minorHAnsi" w:hAnsiTheme="minorHAnsi"/>
          <w:color w:val="000000"/>
          <w:sz w:val="22"/>
          <w:szCs w:val="22"/>
        </w:rPr>
        <w:t xml:space="preserve"> were people who represented various professions and they were all classified as the elites of the ancient world.</w:t>
      </w:r>
    </w:p>
    <w:p w14:paraId="385D8FCF" w14:textId="070D8B61" w:rsidR="002F0628" w:rsidRPr="002F0628" w:rsidRDefault="002F0628" w:rsidP="00DD0D4A">
      <w:pPr>
        <w:spacing w:line="276" w:lineRule="auto"/>
        <w:jc w:val="both"/>
        <w:rPr>
          <w:rFonts w:asciiTheme="minorHAnsi" w:hAnsiTheme="minorHAnsi"/>
          <w:color w:val="000000"/>
          <w:sz w:val="22"/>
          <w:szCs w:val="22"/>
        </w:rPr>
      </w:pPr>
      <w:r w:rsidRPr="002F0628">
        <w:rPr>
          <w:rFonts w:asciiTheme="minorHAnsi" w:hAnsiTheme="minorHAnsi"/>
          <w:color w:val="000000"/>
          <w:sz w:val="22"/>
          <w:szCs w:val="22"/>
        </w:rPr>
        <w:t xml:space="preserve">The most prominent figures that were </w:t>
      </w:r>
      <w:proofErr w:type="spellStart"/>
      <w:r w:rsidRPr="002F0628">
        <w:rPr>
          <w:rFonts w:asciiTheme="minorHAnsi" w:hAnsiTheme="minorHAnsi"/>
          <w:color w:val="000000"/>
          <w:sz w:val="22"/>
          <w:szCs w:val="22"/>
        </w:rPr>
        <w:t>honoured</w:t>
      </w:r>
      <w:proofErr w:type="spellEnd"/>
      <w:r w:rsidRPr="002F0628">
        <w:rPr>
          <w:rFonts w:asciiTheme="minorHAnsi" w:hAnsiTheme="minorHAnsi"/>
          <w:color w:val="000000"/>
          <w:sz w:val="22"/>
          <w:szCs w:val="22"/>
        </w:rPr>
        <w:t xml:space="preserve"> by the Delphic polis were undoubtedly the following kings: Eumenes II king of </w:t>
      </w:r>
      <w:proofErr w:type="spellStart"/>
      <w:r w:rsidRPr="002F0628">
        <w:rPr>
          <w:rFonts w:asciiTheme="minorHAnsi" w:hAnsiTheme="minorHAnsi"/>
          <w:color w:val="000000"/>
          <w:sz w:val="22"/>
          <w:szCs w:val="22"/>
        </w:rPr>
        <w:t>Pergamon</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FdD</w:t>
      </w:r>
      <w:proofErr w:type="spellEnd"/>
      <w:r w:rsidRPr="002F0628">
        <w:rPr>
          <w:rFonts w:asciiTheme="minorHAnsi" w:hAnsiTheme="minorHAnsi"/>
          <w:color w:val="000000"/>
          <w:sz w:val="22"/>
          <w:szCs w:val="22"/>
        </w:rPr>
        <w:t xml:space="preserve"> III 3.237), </w:t>
      </w:r>
      <w:proofErr w:type="spellStart"/>
      <w:r w:rsidRPr="002F0628">
        <w:rPr>
          <w:rFonts w:asciiTheme="minorHAnsi" w:hAnsiTheme="minorHAnsi"/>
          <w:color w:val="000000"/>
          <w:sz w:val="22"/>
          <w:szCs w:val="22"/>
        </w:rPr>
        <w:t>Nikomedes</w:t>
      </w:r>
      <w:proofErr w:type="spellEnd"/>
      <w:r w:rsidRPr="002F0628">
        <w:rPr>
          <w:rFonts w:asciiTheme="minorHAnsi" w:hAnsiTheme="minorHAnsi"/>
          <w:color w:val="000000"/>
          <w:sz w:val="22"/>
          <w:szCs w:val="22"/>
        </w:rPr>
        <w:t xml:space="preserve"> III of Bithynia (</w:t>
      </w:r>
      <w:proofErr w:type="spellStart"/>
      <w:r w:rsidRPr="002F0628">
        <w:rPr>
          <w:rFonts w:asciiTheme="minorHAnsi" w:hAnsiTheme="minorHAnsi"/>
          <w:color w:val="000000"/>
          <w:sz w:val="22"/>
          <w:szCs w:val="22"/>
        </w:rPr>
        <w:t>FdD</w:t>
      </w:r>
      <w:proofErr w:type="spellEnd"/>
      <w:r w:rsidRPr="002F0628">
        <w:rPr>
          <w:rFonts w:asciiTheme="minorHAnsi" w:hAnsiTheme="minorHAnsi"/>
          <w:color w:val="000000"/>
          <w:sz w:val="22"/>
          <w:szCs w:val="22"/>
        </w:rPr>
        <w:t xml:space="preserve"> III 4.77) and </w:t>
      </w:r>
      <w:proofErr w:type="gramStart"/>
      <w:r w:rsidRPr="002F0628">
        <w:rPr>
          <w:rFonts w:asciiTheme="minorHAnsi" w:hAnsiTheme="minorHAnsi"/>
          <w:color w:val="000000"/>
          <w:sz w:val="22"/>
          <w:szCs w:val="22"/>
        </w:rPr>
        <w:t>king  </w:t>
      </w:r>
      <w:proofErr w:type="spellStart"/>
      <w:r w:rsidRPr="002F0628">
        <w:rPr>
          <w:rFonts w:asciiTheme="minorHAnsi" w:hAnsiTheme="minorHAnsi"/>
          <w:color w:val="000000"/>
          <w:sz w:val="22"/>
          <w:szCs w:val="22"/>
        </w:rPr>
        <w:t>Areus</w:t>
      </w:r>
      <w:proofErr w:type="spellEnd"/>
      <w:proofErr w:type="gramEnd"/>
      <w:r w:rsidRPr="002F0628">
        <w:rPr>
          <w:rFonts w:asciiTheme="minorHAnsi" w:hAnsiTheme="minorHAnsi"/>
          <w:color w:val="000000"/>
          <w:sz w:val="22"/>
          <w:szCs w:val="22"/>
        </w:rPr>
        <w:t xml:space="preserve"> II from Sparta (</w:t>
      </w:r>
      <w:proofErr w:type="spellStart"/>
      <w:r w:rsidRPr="002F0628">
        <w:rPr>
          <w:rFonts w:asciiTheme="minorHAnsi" w:hAnsiTheme="minorHAnsi"/>
          <w:color w:val="000000"/>
          <w:sz w:val="22"/>
          <w:szCs w:val="22"/>
        </w:rPr>
        <w:t>FdD</w:t>
      </w:r>
      <w:proofErr w:type="spellEnd"/>
      <w:r w:rsidRPr="002F0628">
        <w:rPr>
          <w:rFonts w:asciiTheme="minorHAnsi" w:hAnsiTheme="minorHAnsi"/>
          <w:color w:val="000000"/>
          <w:sz w:val="22"/>
          <w:szCs w:val="22"/>
        </w:rPr>
        <w:t xml:space="preserve"> III 4.418). Other significant </w:t>
      </w:r>
      <w:proofErr w:type="spellStart"/>
      <w:r w:rsidRPr="002F0628">
        <w:rPr>
          <w:rFonts w:asciiTheme="minorHAnsi" w:hAnsiTheme="minorHAnsi"/>
          <w:color w:val="000000"/>
          <w:sz w:val="22"/>
          <w:szCs w:val="22"/>
        </w:rPr>
        <w:t>honorands</w:t>
      </w:r>
      <w:proofErr w:type="spellEnd"/>
      <w:r w:rsidRPr="002F0628">
        <w:rPr>
          <w:rFonts w:asciiTheme="minorHAnsi" w:hAnsiTheme="minorHAnsi"/>
          <w:color w:val="000000"/>
          <w:sz w:val="22"/>
          <w:szCs w:val="22"/>
        </w:rPr>
        <w:t xml:space="preserve"> include Kl. </w:t>
      </w:r>
      <w:proofErr w:type="spellStart"/>
      <w:r w:rsidRPr="002F0628">
        <w:rPr>
          <w:rFonts w:asciiTheme="minorHAnsi" w:hAnsiTheme="minorHAnsi"/>
          <w:color w:val="000000"/>
          <w:sz w:val="22"/>
          <w:szCs w:val="22"/>
        </w:rPr>
        <w:t>Achaikos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FdD</w:t>
      </w:r>
      <w:proofErr w:type="spellEnd"/>
      <w:r w:rsidRPr="002F0628">
        <w:rPr>
          <w:rFonts w:asciiTheme="minorHAnsi" w:hAnsiTheme="minorHAnsi"/>
          <w:color w:val="000000"/>
          <w:sz w:val="22"/>
          <w:szCs w:val="22"/>
        </w:rPr>
        <w:t xml:space="preserve"> III 1.213 Early Empire) who was an </w:t>
      </w:r>
      <w:proofErr w:type="spellStart"/>
      <w:r w:rsidRPr="002F0628">
        <w:rPr>
          <w:rFonts w:asciiTheme="minorHAnsi" w:hAnsiTheme="minorHAnsi"/>
          <w:color w:val="000000"/>
          <w:sz w:val="22"/>
          <w:szCs w:val="22"/>
        </w:rPr>
        <w:t>Asiarch</w:t>
      </w:r>
      <w:proofErr w:type="spellEnd"/>
      <w:r w:rsidRPr="002F0628">
        <w:rPr>
          <w:rFonts w:asciiTheme="minorHAnsi" w:hAnsiTheme="minorHAnsi"/>
          <w:color w:val="000000"/>
          <w:sz w:val="22"/>
          <w:szCs w:val="22"/>
        </w:rPr>
        <w:t xml:space="preserve"> – a priest of the Imperial cult in the province of Asia. Another decree of the Roman period </w:t>
      </w:r>
      <w:proofErr w:type="spellStart"/>
      <w:r w:rsidRPr="002F0628">
        <w:rPr>
          <w:rFonts w:asciiTheme="minorHAnsi" w:hAnsiTheme="minorHAnsi"/>
          <w:color w:val="000000"/>
          <w:sz w:val="22"/>
          <w:szCs w:val="22"/>
        </w:rPr>
        <w:t>honours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Asinius</w:t>
      </w:r>
      <w:proofErr w:type="spellEnd"/>
      <w:r w:rsidRPr="002F0628">
        <w:rPr>
          <w:rFonts w:asciiTheme="minorHAnsi" w:hAnsiTheme="minorHAnsi"/>
          <w:color w:val="000000"/>
          <w:sz w:val="22"/>
          <w:szCs w:val="22"/>
        </w:rPr>
        <w:t xml:space="preserve"> Rufus (</w:t>
      </w:r>
      <w:proofErr w:type="spellStart"/>
      <w:r w:rsidRPr="002F0628">
        <w:rPr>
          <w:rFonts w:asciiTheme="minorHAnsi" w:hAnsiTheme="minorHAnsi"/>
          <w:color w:val="000000"/>
          <w:sz w:val="22"/>
          <w:szCs w:val="22"/>
        </w:rPr>
        <w:t>FdD</w:t>
      </w:r>
      <w:proofErr w:type="spellEnd"/>
      <w:r w:rsidRPr="002F0628">
        <w:rPr>
          <w:rFonts w:asciiTheme="minorHAnsi" w:hAnsiTheme="minorHAnsi"/>
          <w:color w:val="000000"/>
          <w:sz w:val="22"/>
          <w:szCs w:val="22"/>
        </w:rPr>
        <w:t xml:space="preserve"> III 4.48), a Roman praetor. </w:t>
      </w:r>
      <w:proofErr w:type="spellStart"/>
      <w:r w:rsidRPr="002F0628">
        <w:rPr>
          <w:rFonts w:asciiTheme="minorHAnsi" w:hAnsiTheme="minorHAnsi"/>
          <w:color w:val="000000"/>
          <w:sz w:val="22"/>
          <w:szCs w:val="22"/>
        </w:rPr>
        <w:t>Caristanius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Iulianus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FdD</w:t>
      </w:r>
      <w:proofErr w:type="spellEnd"/>
      <w:r w:rsidRPr="002F0628">
        <w:rPr>
          <w:rFonts w:asciiTheme="minorHAnsi" w:hAnsiTheme="minorHAnsi"/>
          <w:color w:val="000000"/>
          <w:sz w:val="22"/>
          <w:szCs w:val="22"/>
        </w:rPr>
        <w:t xml:space="preserve"> II 4.47), a Roman proconsul was </w:t>
      </w:r>
      <w:proofErr w:type="spellStart"/>
      <w:r w:rsidRPr="002F0628">
        <w:rPr>
          <w:rFonts w:asciiTheme="minorHAnsi" w:hAnsiTheme="minorHAnsi"/>
          <w:color w:val="000000"/>
          <w:sz w:val="22"/>
          <w:szCs w:val="22"/>
        </w:rPr>
        <w:t>honoured</w:t>
      </w:r>
      <w:proofErr w:type="spellEnd"/>
      <w:r w:rsidRPr="002F0628">
        <w:rPr>
          <w:rFonts w:asciiTheme="minorHAnsi" w:hAnsiTheme="minorHAnsi"/>
          <w:color w:val="000000"/>
          <w:sz w:val="22"/>
          <w:szCs w:val="22"/>
        </w:rPr>
        <w:t xml:space="preserve"> with a bronze statue. All of the aforementioned people were foreigners. Among Delphic citizens that were </w:t>
      </w:r>
      <w:proofErr w:type="spellStart"/>
      <w:r w:rsidRPr="002F0628">
        <w:rPr>
          <w:rFonts w:asciiTheme="minorHAnsi" w:hAnsiTheme="minorHAnsi"/>
          <w:color w:val="000000"/>
          <w:sz w:val="22"/>
          <w:szCs w:val="22"/>
        </w:rPr>
        <w:t>honoured</w:t>
      </w:r>
      <w:proofErr w:type="spellEnd"/>
      <w:r w:rsidRPr="002F0628">
        <w:rPr>
          <w:rFonts w:asciiTheme="minorHAnsi" w:hAnsiTheme="minorHAnsi"/>
          <w:color w:val="000000"/>
          <w:sz w:val="22"/>
          <w:szCs w:val="22"/>
        </w:rPr>
        <w:t xml:space="preserve">, the most prominent was </w:t>
      </w:r>
      <w:proofErr w:type="spellStart"/>
      <w:r w:rsidRPr="002F0628">
        <w:rPr>
          <w:rFonts w:asciiTheme="minorHAnsi" w:hAnsiTheme="minorHAnsi"/>
          <w:color w:val="000000"/>
          <w:sz w:val="22"/>
          <w:szCs w:val="22"/>
        </w:rPr>
        <w:t>Memmios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Neikandros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FdD</w:t>
      </w:r>
      <w:proofErr w:type="spellEnd"/>
      <w:r w:rsidRPr="002F0628">
        <w:rPr>
          <w:rFonts w:asciiTheme="minorHAnsi" w:hAnsiTheme="minorHAnsi"/>
          <w:color w:val="000000"/>
          <w:sz w:val="22"/>
          <w:szCs w:val="22"/>
        </w:rPr>
        <w:t xml:space="preserve"> III 1.466), a secretary of the </w:t>
      </w:r>
      <w:proofErr w:type="spellStart"/>
      <w:r w:rsidRPr="002F0628">
        <w:rPr>
          <w:rFonts w:asciiTheme="minorHAnsi" w:hAnsiTheme="minorHAnsi"/>
          <w:color w:val="000000"/>
          <w:sz w:val="22"/>
          <w:szCs w:val="22"/>
        </w:rPr>
        <w:t>Amphictyony</w:t>
      </w:r>
      <w:proofErr w:type="spellEnd"/>
      <w:r w:rsidRPr="002F0628">
        <w:rPr>
          <w:rFonts w:asciiTheme="minorHAnsi" w:hAnsiTheme="minorHAnsi"/>
          <w:color w:val="000000"/>
          <w:sz w:val="22"/>
          <w:szCs w:val="22"/>
        </w:rPr>
        <w:t xml:space="preserve"> and the president of the athletes association. </w:t>
      </w:r>
      <w:proofErr w:type="spellStart"/>
      <w:r w:rsidRPr="002F0628">
        <w:rPr>
          <w:rFonts w:asciiTheme="minorHAnsi" w:hAnsiTheme="minorHAnsi"/>
          <w:color w:val="000000"/>
          <w:sz w:val="22"/>
          <w:szCs w:val="22"/>
        </w:rPr>
        <w:t>Delphians</w:t>
      </w:r>
      <w:proofErr w:type="spellEnd"/>
      <w:r w:rsidRPr="002F0628">
        <w:rPr>
          <w:rFonts w:asciiTheme="minorHAnsi" w:hAnsiTheme="minorHAnsi"/>
          <w:color w:val="000000"/>
          <w:sz w:val="22"/>
          <w:szCs w:val="22"/>
        </w:rPr>
        <w:t xml:space="preserve"> </w:t>
      </w:r>
      <w:proofErr w:type="spellStart"/>
      <w:r w:rsidRPr="002F0628">
        <w:rPr>
          <w:rFonts w:asciiTheme="minorHAnsi" w:hAnsiTheme="minorHAnsi"/>
          <w:color w:val="000000"/>
          <w:sz w:val="22"/>
          <w:szCs w:val="22"/>
        </w:rPr>
        <w:t>honoured</w:t>
      </w:r>
      <w:proofErr w:type="spellEnd"/>
      <w:r w:rsidRPr="002F0628">
        <w:rPr>
          <w:rFonts w:asciiTheme="minorHAnsi" w:hAnsiTheme="minorHAnsi"/>
          <w:color w:val="000000"/>
          <w:sz w:val="22"/>
          <w:szCs w:val="22"/>
        </w:rPr>
        <w:t xml:space="preserve"> him with heroic worship, an extremely rarely attested privilege.  In this paper I will also briefly discuss artists who participated in the </w:t>
      </w:r>
      <w:proofErr w:type="spellStart"/>
      <w:r w:rsidRPr="002F0628">
        <w:rPr>
          <w:rFonts w:asciiTheme="minorHAnsi" w:hAnsiTheme="minorHAnsi"/>
          <w:color w:val="000000"/>
          <w:sz w:val="22"/>
          <w:szCs w:val="22"/>
        </w:rPr>
        <w:t>Pythian</w:t>
      </w:r>
      <w:proofErr w:type="spellEnd"/>
      <w:r w:rsidRPr="002F0628">
        <w:rPr>
          <w:rFonts w:asciiTheme="minorHAnsi" w:hAnsiTheme="minorHAnsi"/>
          <w:color w:val="000000"/>
          <w:sz w:val="22"/>
          <w:szCs w:val="22"/>
        </w:rPr>
        <w:t xml:space="preserve"> </w:t>
      </w:r>
      <w:proofErr w:type="gramStart"/>
      <w:r w:rsidRPr="002F0628">
        <w:rPr>
          <w:rFonts w:asciiTheme="minorHAnsi" w:hAnsiTheme="minorHAnsi"/>
          <w:color w:val="000000"/>
          <w:sz w:val="22"/>
          <w:szCs w:val="22"/>
        </w:rPr>
        <w:t>Games</w:t>
      </w:r>
      <w:proofErr w:type="gramEnd"/>
      <w:r w:rsidRPr="002F0628">
        <w:rPr>
          <w:rFonts w:asciiTheme="minorHAnsi" w:hAnsiTheme="minorHAnsi"/>
          <w:color w:val="000000"/>
          <w:sz w:val="22"/>
          <w:szCs w:val="22"/>
        </w:rPr>
        <w:t>, as well as prominent poets and philosophers. Finally, I will turn my attention to the categories of people who surprisingly do not appear in the decrees of Delphi - such as the Roman emperors.</w:t>
      </w:r>
    </w:p>
    <w:p w14:paraId="2DA8ACBB" w14:textId="77777777" w:rsidR="002F0628" w:rsidRPr="002F0628" w:rsidRDefault="002F0628" w:rsidP="00DD0D4A">
      <w:pPr>
        <w:spacing w:line="276" w:lineRule="auto"/>
        <w:jc w:val="both"/>
        <w:rPr>
          <w:rFonts w:asciiTheme="minorHAnsi" w:hAnsiTheme="minorHAnsi"/>
          <w:color w:val="000000"/>
          <w:sz w:val="22"/>
          <w:szCs w:val="22"/>
        </w:rPr>
      </w:pPr>
    </w:p>
    <w:p w14:paraId="3AF74705" w14:textId="77777777" w:rsidR="002F0628" w:rsidRPr="002F0628" w:rsidRDefault="002F0628" w:rsidP="00DD0D4A">
      <w:pPr>
        <w:spacing w:line="276" w:lineRule="auto"/>
        <w:jc w:val="both"/>
        <w:rPr>
          <w:rFonts w:asciiTheme="minorHAnsi" w:hAnsiTheme="minorHAnsi"/>
          <w:sz w:val="22"/>
          <w:szCs w:val="22"/>
        </w:rPr>
      </w:pPr>
    </w:p>
    <w:p w14:paraId="6975DF4F" w14:textId="77777777" w:rsidR="002F5542"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lang w:val="de-DE"/>
        </w:rPr>
      </w:pPr>
      <w:r w:rsidRPr="002F0628">
        <w:rPr>
          <w:rFonts w:asciiTheme="minorHAnsi" w:hAnsiTheme="minorHAnsi"/>
          <w:sz w:val="22"/>
          <w:szCs w:val="22"/>
        </w:rPr>
        <w:t xml:space="preserve">Dr. </w:t>
      </w:r>
      <w:proofErr w:type="spellStart"/>
      <w:r w:rsidRPr="002F0628">
        <w:rPr>
          <w:rFonts w:asciiTheme="minorHAnsi" w:hAnsiTheme="minorHAnsi"/>
          <w:sz w:val="22"/>
          <w:szCs w:val="22"/>
        </w:rPr>
        <w:t>Oetjen</w:t>
      </w:r>
      <w:proofErr w:type="spellEnd"/>
      <w:r w:rsidRPr="002F0628">
        <w:rPr>
          <w:rFonts w:asciiTheme="minorHAnsi" w:hAnsiTheme="minorHAnsi"/>
          <w:sz w:val="22"/>
          <w:szCs w:val="22"/>
        </w:rPr>
        <w:t>, Roland</w:t>
      </w:r>
      <w:r w:rsidR="002F5542">
        <w:rPr>
          <w:rFonts w:asciiTheme="minorHAnsi" w:hAnsiTheme="minorHAnsi"/>
          <w:sz w:val="22"/>
          <w:szCs w:val="22"/>
        </w:rPr>
        <w:t xml:space="preserve"> (</w:t>
      </w:r>
      <w:r w:rsidRPr="002F0628">
        <w:rPr>
          <w:rFonts w:asciiTheme="minorHAnsi" w:hAnsiTheme="minorHAnsi"/>
          <w:sz w:val="22"/>
          <w:szCs w:val="22"/>
          <w:lang w:val="nl-NL"/>
        </w:rPr>
        <w:t>Christian-</w:t>
      </w:r>
      <w:proofErr w:type="spellStart"/>
      <w:r w:rsidRPr="002F0628">
        <w:rPr>
          <w:rFonts w:asciiTheme="minorHAnsi" w:hAnsiTheme="minorHAnsi"/>
          <w:sz w:val="22"/>
          <w:szCs w:val="22"/>
          <w:lang w:val="nl-NL"/>
        </w:rPr>
        <w:t>Albrechts</w:t>
      </w:r>
      <w:proofErr w:type="spellEnd"/>
      <w:r w:rsidRPr="002F0628">
        <w:rPr>
          <w:rFonts w:asciiTheme="minorHAnsi" w:hAnsiTheme="minorHAnsi"/>
          <w:sz w:val="22"/>
          <w:szCs w:val="22"/>
          <w:lang w:val="nl-NL"/>
        </w:rPr>
        <w:t>-</w:t>
      </w:r>
      <w:proofErr w:type="spellStart"/>
      <w:r w:rsidRPr="002F0628">
        <w:rPr>
          <w:rFonts w:asciiTheme="minorHAnsi" w:hAnsiTheme="minorHAnsi"/>
          <w:sz w:val="22"/>
          <w:szCs w:val="22"/>
          <w:lang w:val="nl-NL"/>
        </w:rPr>
        <w:t>Universit</w:t>
      </w:r>
      <w:proofErr w:type="spellEnd"/>
      <w:r w:rsidRPr="002F0628">
        <w:rPr>
          <w:rFonts w:asciiTheme="minorHAnsi" w:hAnsiTheme="minorHAnsi"/>
          <w:sz w:val="22"/>
          <w:szCs w:val="22"/>
        </w:rPr>
        <w:t>ä</w:t>
      </w:r>
      <w:r w:rsidRPr="002F0628">
        <w:rPr>
          <w:rFonts w:asciiTheme="minorHAnsi" w:hAnsiTheme="minorHAnsi"/>
          <w:sz w:val="22"/>
          <w:szCs w:val="22"/>
          <w:lang w:val="de-DE"/>
        </w:rPr>
        <w:t>t zu Kiel</w:t>
      </w:r>
      <w:r w:rsidR="002F5542">
        <w:rPr>
          <w:rFonts w:asciiTheme="minorHAnsi" w:hAnsiTheme="minorHAnsi"/>
          <w:sz w:val="22"/>
          <w:szCs w:val="22"/>
          <w:lang w:val="de-DE"/>
        </w:rPr>
        <w:t>)</w:t>
      </w:r>
    </w:p>
    <w:p w14:paraId="46111AA3" w14:textId="77777777" w:rsidR="00FD50E5" w:rsidRPr="002F5542"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Cs/>
          <w:sz w:val="22"/>
          <w:szCs w:val="22"/>
        </w:rPr>
      </w:pPr>
      <w:r w:rsidRPr="002F5542">
        <w:rPr>
          <w:rFonts w:asciiTheme="minorHAnsi" w:hAnsiTheme="minorHAnsi"/>
          <w:bCs/>
          <w:sz w:val="22"/>
          <w:szCs w:val="22"/>
        </w:rPr>
        <w:t>roetjen@email.uni-kiel.de</w:t>
      </w:r>
    </w:p>
    <w:p w14:paraId="1937A952" w14:textId="77777777" w:rsidR="00FD50E5" w:rsidRPr="002F0628" w:rsidRDefault="00FD50E5"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sz w:val="22"/>
          <w:szCs w:val="22"/>
        </w:rPr>
      </w:pPr>
    </w:p>
    <w:p w14:paraId="07677AEC" w14:textId="7FB0508D"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b/>
          <w:bCs/>
          <w:sz w:val="22"/>
          <w:szCs w:val="22"/>
        </w:rPr>
      </w:pPr>
      <w:r w:rsidRPr="002F0628">
        <w:rPr>
          <w:rFonts w:asciiTheme="minorHAnsi" w:hAnsiTheme="minorHAnsi"/>
          <w:b/>
          <w:bCs/>
          <w:sz w:val="22"/>
          <w:szCs w:val="22"/>
        </w:rPr>
        <w:t xml:space="preserve">Greek </w:t>
      </w:r>
      <w:proofErr w:type="spellStart"/>
      <w:r w:rsidR="002F5542">
        <w:rPr>
          <w:rFonts w:asciiTheme="minorHAnsi" w:hAnsiTheme="minorHAnsi"/>
          <w:b/>
          <w:bCs/>
          <w:sz w:val="22"/>
          <w:szCs w:val="22"/>
        </w:rPr>
        <w:t>E</w:t>
      </w:r>
      <w:r w:rsidRPr="002F0628">
        <w:rPr>
          <w:rFonts w:asciiTheme="minorHAnsi" w:hAnsiTheme="minorHAnsi"/>
          <w:b/>
          <w:bCs/>
          <w:sz w:val="22"/>
          <w:szCs w:val="22"/>
        </w:rPr>
        <w:t>uergetism</w:t>
      </w:r>
      <w:proofErr w:type="spellEnd"/>
      <w:r w:rsidRPr="002F0628">
        <w:rPr>
          <w:rFonts w:asciiTheme="minorHAnsi" w:hAnsiTheme="minorHAnsi"/>
          <w:b/>
          <w:bCs/>
          <w:sz w:val="22"/>
          <w:szCs w:val="22"/>
        </w:rPr>
        <w:t xml:space="preserve">: </w:t>
      </w:r>
      <w:r w:rsidR="002F5542">
        <w:rPr>
          <w:rFonts w:asciiTheme="minorHAnsi" w:hAnsiTheme="minorHAnsi"/>
          <w:b/>
          <w:bCs/>
          <w:sz w:val="22"/>
          <w:szCs w:val="22"/>
        </w:rPr>
        <w:t>S</w:t>
      </w:r>
      <w:r w:rsidRPr="002F0628">
        <w:rPr>
          <w:rFonts w:asciiTheme="minorHAnsi" w:hAnsiTheme="minorHAnsi"/>
          <w:b/>
          <w:bCs/>
          <w:sz w:val="22"/>
          <w:szCs w:val="22"/>
        </w:rPr>
        <w:t xml:space="preserve">ome </w:t>
      </w:r>
      <w:r w:rsidR="002F5542">
        <w:rPr>
          <w:rFonts w:asciiTheme="minorHAnsi" w:hAnsiTheme="minorHAnsi"/>
          <w:b/>
          <w:bCs/>
          <w:sz w:val="22"/>
          <w:szCs w:val="22"/>
        </w:rPr>
        <w:t>T</w:t>
      </w:r>
      <w:r w:rsidRPr="002F0628">
        <w:rPr>
          <w:rFonts w:asciiTheme="minorHAnsi" w:hAnsiTheme="minorHAnsi"/>
          <w:b/>
          <w:bCs/>
          <w:sz w:val="22"/>
          <w:szCs w:val="22"/>
        </w:rPr>
        <w:t xml:space="preserve">houghts on its </w:t>
      </w:r>
      <w:r w:rsidR="002F5542">
        <w:rPr>
          <w:rFonts w:asciiTheme="minorHAnsi" w:hAnsiTheme="minorHAnsi"/>
          <w:b/>
          <w:bCs/>
          <w:sz w:val="22"/>
          <w:szCs w:val="22"/>
        </w:rPr>
        <w:t>N</w:t>
      </w:r>
      <w:r w:rsidRPr="002F0628">
        <w:rPr>
          <w:rFonts w:asciiTheme="minorHAnsi" w:hAnsiTheme="minorHAnsi"/>
          <w:b/>
          <w:bCs/>
          <w:sz w:val="22"/>
          <w:szCs w:val="22"/>
        </w:rPr>
        <w:t xml:space="preserve">ature and </w:t>
      </w:r>
      <w:r w:rsidR="002F5542">
        <w:rPr>
          <w:rFonts w:asciiTheme="minorHAnsi" w:hAnsiTheme="minorHAnsi"/>
          <w:b/>
          <w:bCs/>
          <w:sz w:val="22"/>
          <w:szCs w:val="22"/>
        </w:rPr>
        <w:t>O</w:t>
      </w:r>
      <w:r w:rsidRPr="002F0628">
        <w:rPr>
          <w:rFonts w:asciiTheme="minorHAnsi" w:hAnsiTheme="minorHAnsi"/>
          <w:b/>
          <w:bCs/>
          <w:sz w:val="22"/>
          <w:szCs w:val="22"/>
        </w:rPr>
        <w:t xml:space="preserve">rigin from an </w:t>
      </w:r>
      <w:r w:rsidR="002F5542">
        <w:rPr>
          <w:rFonts w:asciiTheme="minorHAnsi" w:hAnsiTheme="minorHAnsi"/>
          <w:b/>
          <w:bCs/>
          <w:sz w:val="22"/>
          <w:szCs w:val="22"/>
        </w:rPr>
        <w:t>E</w:t>
      </w:r>
      <w:r w:rsidRPr="002F0628">
        <w:rPr>
          <w:rFonts w:asciiTheme="minorHAnsi" w:hAnsiTheme="minorHAnsi"/>
          <w:b/>
          <w:bCs/>
          <w:sz w:val="22"/>
          <w:szCs w:val="22"/>
        </w:rPr>
        <w:t xml:space="preserve">conomic </w:t>
      </w:r>
      <w:r w:rsidR="002F5542">
        <w:rPr>
          <w:rFonts w:asciiTheme="minorHAnsi" w:hAnsiTheme="minorHAnsi"/>
          <w:b/>
          <w:bCs/>
          <w:sz w:val="22"/>
          <w:szCs w:val="22"/>
        </w:rPr>
        <w:t>P</w:t>
      </w:r>
      <w:r w:rsidRPr="002F0628">
        <w:rPr>
          <w:rFonts w:asciiTheme="minorHAnsi" w:hAnsiTheme="minorHAnsi"/>
          <w:b/>
          <w:bCs/>
          <w:sz w:val="22"/>
          <w:szCs w:val="22"/>
        </w:rPr>
        <w:t>erspective</w:t>
      </w:r>
    </w:p>
    <w:p w14:paraId="27E351D4" w14:textId="2A0F3074"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r w:rsidRPr="002F0628">
        <w:rPr>
          <w:rFonts w:asciiTheme="minorHAnsi" w:hAnsiTheme="minorHAnsi"/>
          <w:sz w:val="22"/>
          <w:szCs w:val="22"/>
        </w:rPr>
        <w:t xml:space="preserve">My paper will use economic analysis to explain the nature and origin of </w:t>
      </w:r>
      <w:proofErr w:type="spellStart"/>
      <w:r w:rsidRPr="002F0628">
        <w:rPr>
          <w:rFonts w:asciiTheme="minorHAnsi" w:hAnsiTheme="minorHAnsi"/>
          <w:sz w:val="22"/>
          <w:szCs w:val="22"/>
        </w:rPr>
        <w:t>euergetism</w:t>
      </w:r>
      <w:proofErr w:type="spellEnd"/>
      <w:r w:rsidRPr="002F0628">
        <w:rPr>
          <w:rFonts w:asciiTheme="minorHAnsi" w:hAnsiTheme="minorHAnsi"/>
          <w:sz w:val="22"/>
          <w:szCs w:val="22"/>
        </w:rPr>
        <w:t>. The modern term describes different types of financing of public and other goods by rich citizens, but also by rich foreigners, Hellenistic kings, and Roman magistrates on the basis of voluntariness. Voluntariness here means freedom from coercion such as taxes or liturgies. The most common types were individual payments, contributions to public subscriptions, and the discharge of liturgical offices, with the "benefactions" consisting of either gifts or loans at regular, reduced or no interest. Ancient historians maintain that in the Hellenistic period the "benefactions" of the rich developed into a revenue source impoverished cities were increasingly dependent on for their survival.</w:t>
      </w:r>
    </w:p>
    <w:p w14:paraId="56C6FE4B" w14:textId="23C2961A"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eastAsia="Palatino" w:hAnsiTheme="minorHAnsi" w:cs="Palatino"/>
          <w:sz w:val="22"/>
          <w:szCs w:val="22"/>
        </w:rPr>
      </w:pPr>
      <w:r w:rsidRPr="002F0628">
        <w:rPr>
          <w:rFonts w:asciiTheme="minorHAnsi" w:hAnsiTheme="minorHAnsi"/>
          <w:sz w:val="22"/>
          <w:szCs w:val="22"/>
        </w:rPr>
        <w:lastRenderedPageBreak/>
        <w:t xml:space="preserve">The Hellenistic period exhibits a significant increase in public expenditures. The cities began, to a larger scale than before, to construct temples and public buildings, hold festivals, contests, and banquets, operate schools and gymnasia, and supply cheap grain to their citizens. Additionally they increasingly had to provide for their defense and send embassies to the Hellenistic kings. The paper will discuss the different "laws" of increasing state activity (Wagner, </w:t>
      </w:r>
      <w:proofErr w:type="spellStart"/>
      <w:r w:rsidRPr="002F0628">
        <w:rPr>
          <w:rFonts w:asciiTheme="minorHAnsi" w:hAnsiTheme="minorHAnsi"/>
          <w:sz w:val="22"/>
          <w:szCs w:val="22"/>
        </w:rPr>
        <w:t>Popitz</w:t>
      </w:r>
      <w:proofErr w:type="spellEnd"/>
      <w:r w:rsidRPr="002F0628">
        <w:rPr>
          <w:rFonts w:asciiTheme="minorHAnsi" w:hAnsiTheme="minorHAnsi"/>
          <w:sz w:val="22"/>
          <w:szCs w:val="22"/>
        </w:rPr>
        <w:t xml:space="preserve">, Brecht) and show that economic, social, and demographic developments similar to those in the 19th century accounted for a higher demand for public goods in the Hellenistic period. The paper will use transaction cost theory (Levi and </w:t>
      </w:r>
      <w:proofErr w:type="spellStart"/>
      <w:r w:rsidRPr="002F0628">
        <w:rPr>
          <w:rFonts w:asciiTheme="minorHAnsi" w:hAnsiTheme="minorHAnsi"/>
          <w:sz w:val="22"/>
          <w:szCs w:val="22"/>
        </w:rPr>
        <w:t>Lyttkens</w:t>
      </w:r>
      <w:proofErr w:type="spellEnd"/>
      <w:r w:rsidRPr="002F0628">
        <w:rPr>
          <w:rFonts w:asciiTheme="minorHAnsi" w:hAnsiTheme="minorHAnsi"/>
          <w:sz w:val="22"/>
          <w:szCs w:val="22"/>
        </w:rPr>
        <w:t>) to explain why politicians chose to finance the new expenditures with "benefactions" rather than taxes or liturgies. It will be demonstrated that the political and administrative system of the Greek cities and the economic developments of the late classical period would have rendered the application of the existing tax and liturgy system, let alone the creation of a new one so expensive that politicians opted for transaction cost-saving "benefactions".</w:t>
      </w:r>
    </w:p>
    <w:p w14:paraId="752042FD" w14:textId="7B05339E" w:rsidR="00FD50E5" w:rsidRPr="002F0628" w:rsidRDefault="00A87817" w:rsidP="00DD0D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sz w:val="22"/>
          <w:szCs w:val="22"/>
          <w:rtl/>
        </w:rPr>
      </w:pPr>
      <w:r w:rsidRPr="002F0628">
        <w:rPr>
          <w:rFonts w:asciiTheme="minorHAnsi" w:hAnsiTheme="minorHAnsi"/>
          <w:sz w:val="22"/>
          <w:szCs w:val="22"/>
        </w:rPr>
        <w:t>The motives of "</w:t>
      </w:r>
      <w:proofErr w:type="spellStart"/>
      <w:r w:rsidRPr="002F0628">
        <w:rPr>
          <w:rFonts w:asciiTheme="minorHAnsi" w:hAnsiTheme="minorHAnsi"/>
          <w:sz w:val="22"/>
          <w:szCs w:val="22"/>
        </w:rPr>
        <w:t>euergetic</w:t>
      </w:r>
      <w:proofErr w:type="spellEnd"/>
      <w:r w:rsidRPr="002F0628">
        <w:rPr>
          <w:rFonts w:asciiTheme="minorHAnsi" w:hAnsiTheme="minorHAnsi"/>
          <w:sz w:val="22"/>
          <w:szCs w:val="22"/>
        </w:rPr>
        <w:t xml:space="preserve">" behavior are traditionally recognized in love of reputation and honor. This paper will model the "benefactor" as a homo </w:t>
      </w:r>
      <w:proofErr w:type="spellStart"/>
      <w:r w:rsidRPr="002F0628">
        <w:rPr>
          <w:rFonts w:asciiTheme="minorHAnsi" w:hAnsiTheme="minorHAnsi"/>
          <w:sz w:val="22"/>
          <w:szCs w:val="22"/>
        </w:rPr>
        <w:t>oeconomicus</w:t>
      </w:r>
      <w:proofErr w:type="spellEnd"/>
      <w:r w:rsidRPr="002F0628">
        <w:rPr>
          <w:rFonts w:asciiTheme="minorHAnsi" w:hAnsiTheme="minorHAnsi"/>
          <w:sz w:val="22"/>
          <w:szCs w:val="22"/>
        </w:rPr>
        <w:t>. Applying theories of collective action (Olson, Hardin, Axelrod), it will examine the different types of "</w:t>
      </w:r>
      <w:proofErr w:type="spellStart"/>
      <w:r w:rsidRPr="002F0628">
        <w:rPr>
          <w:rFonts w:asciiTheme="minorHAnsi" w:hAnsiTheme="minorHAnsi"/>
          <w:sz w:val="22"/>
          <w:szCs w:val="22"/>
        </w:rPr>
        <w:t>euergetic</w:t>
      </w:r>
      <w:proofErr w:type="spellEnd"/>
      <w:r w:rsidRPr="002F0628">
        <w:rPr>
          <w:rFonts w:asciiTheme="minorHAnsi" w:hAnsiTheme="minorHAnsi"/>
          <w:sz w:val="22"/>
          <w:szCs w:val="22"/>
        </w:rPr>
        <w:t xml:space="preserve">" revenues for the ways politicians used to solve the free rider problem and motivate rational and self-interested individuals to contribute to the provision of public goods without exercising coercion. As in public choice theory the relationship between citizens and politicians will be depicted as a principal-agent-relationship. It will be suggested that the “benefactions" were a device for politicians (agents) to credibly commit to the citizens (principals) that once elected they would not act opportunistically as well as a compensation for the citizens in the event that politicians did act opportunistically. The honors a "benefactor" was awarded served as certificates signaling his suitability to hold office. Since time in office was limited to one year and politicians were up for election again and again, the differences between ex ante and ex post conflict-minimizing measures were blurred. Thus performing "benefactions" turns out to be rational and self-interested behavior. The paper will also provide a new interpretation of the "benefactions" performed by rich foreigners, Hellenistic kings, and Roman magistrates. To protect politicians from opportunistic behavior of the citizens and stabilize the relationship between citizens and politicians, the citizens also had to commit themselves, but since they were unable to, they encouraged rich foreigners, Hellenistic kings or Roman magistrates (themselves interested in stable conditions in the cities) to give or lend them money. It will finally be shown that it was individual rulers with a need for funds (e.g., </w:t>
      </w:r>
      <w:proofErr w:type="spellStart"/>
      <w:r w:rsidRPr="002F0628">
        <w:rPr>
          <w:rFonts w:asciiTheme="minorHAnsi" w:hAnsiTheme="minorHAnsi"/>
          <w:sz w:val="22"/>
          <w:szCs w:val="22"/>
        </w:rPr>
        <w:t>Lykourgos</w:t>
      </w:r>
      <w:proofErr w:type="spellEnd"/>
      <w:r w:rsidRPr="002F0628">
        <w:rPr>
          <w:rFonts w:asciiTheme="minorHAnsi" w:hAnsiTheme="minorHAnsi"/>
          <w:sz w:val="22"/>
          <w:szCs w:val="22"/>
        </w:rPr>
        <w:t xml:space="preserve"> and </w:t>
      </w:r>
      <w:proofErr w:type="spellStart"/>
      <w:r w:rsidRPr="002F0628">
        <w:rPr>
          <w:rFonts w:asciiTheme="minorHAnsi" w:hAnsiTheme="minorHAnsi"/>
          <w:sz w:val="22"/>
          <w:szCs w:val="22"/>
        </w:rPr>
        <w:t>Demetrios</w:t>
      </w:r>
      <w:proofErr w:type="spellEnd"/>
      <w:r w:rsidRPr="002F0628">
        <w:rPr>
          <w:rFonts w:asciiTheme="minorHAnsi" w:hAnsiTheme="minorHAnsi"/>
          <w:sz w:val="22"/>
          <w:szCs w:val="22"/>
        </w:rPr>
        <w:t xml:space="preserve"> of </w:t>
      </w:r>
      <w:proofErr w:type="spellStart"/>
      <w:r w:rsidRPr="002F0628">
        <w:rPr>
          <w:rFonts w:asciiTheme="minorHAnsi" w:hAnsiTheme="minorHAnsi"/>
          <w:sz w:val="22"/>
          <w:szCs w:val="22"/>
        </w:rPr>
        <w:t>Phaleron</w:t>
      </w:r>
      <w:proofErr w:type="spellEnd"/>
      <w:r w:rsidRPr="002F0628">
        <w:rPr>
          <w:rFonts w:asciiTheme="minorHAnsi" w:hAnsiTheme="minorHAnsi"/>
          <w:sz w:val="22"/>
          <w:szCs w:val="22"/>
        </w:rPr>
        <w:t xml:space="preserve"> in late fourth-century Athens) who changed (</w:t>
      </w:r>
      <w:proofErr w:type="spellStart"/>
      <w:r w:rsidRPr="002F0628">
        <w:rPr>
          <w:rFonts w:asciiTheme="minorHAnsi" w:hAnsiTheme="minorHAnsi"/>
          <w:sz w:val="22"/>
          <w:szCs w:val="22"/>
        </w:rPr>
        <w:t>i</w:t>
      </w:r>
      <w:proofErr w:type="spellEnd"/>
      <w:r w:rsidRPr="002F0628">
        <w:rPr>
          <w:rFonts w:asciiTheme="minorHAnsi" w:hAnsiTheme="minorHAnsi"/>
          <w:sz w:val="22"/>
          <w:szCs w:val="22"/>
        </w:rPr>
        <w:t>. e., had an incentive to change) the institutional order to motivate "</w:t>
      </w:r>
      <w:proofErr w:type="spellStart"/>
      <w:r w:rsidRPr="002F0628">
        <w:rPr>
          <w:rFonts w:asciiTheme="minorHAnsi" w:hAnsiTheme="minorHAnsi"/>
          <w:sz w:val="22"/>
          <w:szCs w:val="22"/>
        </w:rPr>
        <w:t>euergetic</w:t>
      </w:r>
      <w:proofErr w:type="spellEnd"/>
      <w:r w:rsidRPr="002F0628">
        <w:rPr>
          <w:rFonts w:asciiTheme="minorHAnsi" w:hAnsiTheme="minorHAnsi"/>
          <w:sz w:val="22"/>
          <w:szCs w:val="22"/>
        </w:rPr>
        <w:t>" behavior (e. g., by strengthening the magistracies, weakening the popular assembly, and creating new honors) and that system competition brought about the spreading of the new more efficient institutions over the entirety of the Greek world.</w:t>
      </w:r>
    </w:p>
    <w:sectPr w:rsidR="00FD50E5" w:rsidRPr="002F0628" w:rsidSect="00E1681C">
      <w:headerReference w:type="default" r:id="rId7"/>
      <w:footerReference w:type="default" r:id="rId8"/>
      <w:type w:val="continuous"/>
      <w:pgSz w:w="11900" w:h="16840"/>
      <w:pgMar w:top="1440" w:right="1080" w:bottom="1440" w:left="108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1C88B" w14:textId="77777777" w:rsidR="001C25C7" w:rsidRDefault="001C25C7">
      <w:r>
        <w:separator/>
      </w:r>
    </w:p>
  </w:endnote>
  <w:endnote w:type="continuationSeparator" w:id="0">
    <w:p w14:paraId="471677A0" w14:textId="77777777" w:rsidR="001C25C7" w:rsidRDefault="001C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60CE3" w14:textId="77777777" w:rsidR="001C25C7" w:rsidRDefault="001C25C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3B24" w14:textId="77777777" w:rsidR="001C25C7" w:rsidRDefault="001C25C7">
      <w:r>
        <w:separator/>
      </w:r>
    </w:p>
  </w:footnote>
  <w:footnote w:type="continuationSeparator" w:id="0">
    <w:p w14:paraId="199516DE" w14:textId="77777777" w:rsidR="001C25C7" w:rsidRDefault="001C25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BB8E" w14:textId="77777777" w:rsidR="001C25C7" w:rsidRDefault="001C25C7">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fldChar w:fldCharType="begin"/>
    </w:r>
    <w:r>
      <w:instrText xml:space="preserve"> PAGE </w:instrText>
    </w:r>
    <w:r>
      <w:fldChar w:fldCharType="separate"/>
    </w:r>
    <w:r w:rsidR="00783E78">
      <w:rPr>
        <w:noProof/>
      </w:rPr>
      <w:t>7</w:t>
    </w:r>
    <w:r>
      <w:fldChar w:fldCharType="end"/>
    </w:r>
    <w:r>
      <w:t xml:space="preserve"> of </w:t>
    </w:r>
    <w:r>
      <w:fldChar w:fldCharType="begin"/>
    </w:r>
    <w:r>
      <w:instrText xml:space="preserve"> NUMPAGES </w:instrText>
    </w:r>
    <w:r>
      <w:fldChar w:fldCharType="separate"/>
    </w:r>
    <w:r w:rsidR="00783E78">
      <w:rPr>
        <w:noProof/>
      </w:rPr>
      <w:t>14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50E5"/>
    <w:rsid w:val="00113C4F"/>
    <w:rsid w:val="001C25C7"/>
    <w:rsid w:val="00247FF3"/>
    <w:rsid w:val="002615AF"/>
    <w:rsid w:val="002F0628"/>
    <w:rsid w:val="002F5542"/>
    <w:rsid w:val="004862D3"/>
    <w:rsid w:val="00500A79"/>
    <w:rsid w:val="0050247A"/>
    <w:rsid w:val="00783E78"/>
    <w:rsid w:val="0083093D"/>
    <w:rsid w:val="008D4A64"/>
    <w:rsid w:val="009B4918"/>
    <w:rsid w:val="00A87817"/>
    <w:rsid w:val="00B60261"/>
    <w:rsid w:val="00B62CE7"/>
    <w:rsid w:val="00BC74F4"/>
    <w:rsid w:val="00CD756C"/>
    <w:rsid w:val="00D238BE"/>
    <w:rsid w:val="00DC737B"/>
    <w:rsid w:val="00DD0D4A"/>
    <w:rsid w:val="00E1681C"/>
    <w:rsid w:val="00E61644"/>
    <w:rsid w:val="00FD5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B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Arial" w:hAnsi="Arial Unicode MS" w:cs="Arial Unicode MS"/>
      <w:color w:val="222222"/>
      <w:sz w:val="30"/>
      <w:szCs w:val="30"/>
    </w:rPr>
  </w:style>
  <w:style w:type="character" w:customStyle="1" w:styleId="Hyperlink0">
    <w:name w:val="Hyperlink.0"/>
    <w:basedOn w:val="Hyperlink"/>
    <w:rPr>
      <w:u w:val="single"/>
    </w:rPr>
  </w:style>
  <w:style w:type="character" w:customStyle="1" w:styleId="Hyperlink1">
    <w:name w:val="Hyperlink.1"/>
    <w:basedOn w:val="Hyperlink"/>
    <w:rPr>
      <w:color w:val="000000"/>
      <w:u w:val="single" w:color="000000"/>
    </w:rPr>
  </w:style>
  <w:style w:type="paragraph" w:customStyle="1" w:styleId="Body">
    <w:name w:val="Body"/>
    <w:rPr>
      <w:rFonts w:eastAsia="Times New Roman"/>
      <w:color w:val="000000"/>
      <w:sz w:val="24"/>
      <w:szCs w:val="24"/>
      <w:u w:color="000000"/>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paragraph" w:styleId="BalloonText">
    <w:name w:val="Balloon Text"/>
    <w:basedOn w:val="Normal"/>
    <w:link w:val="BalloonTextChar"/>
    <w:uiPriority w:val="99"/>
    <w:semiHidden/>
    <w:unhideWhenUsed/>
    <w:rsid w:val="00A87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8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Arial" w:hAnsi="Arial Unicode MS" w:cs="Arial Unicode MS"/>
      <w:color w:val="222222"/>
      <w:sz w:val="30"/>
      <w:szCs w:val="30"/>
    </w:rPr>
  </w:style>
  <w:style w:type="character" w:customStyle="1" w:styleId="Hyperlink0">
    <w:name w:val="Hyperlink.0"/>
    <w:basedOn w:val="Hyperlink"/>
    <w:rPr>
      <w:u w:val="single"/>
    </w:rPr>
  </w:style>
  <w:style w:type="character" w:customStyle="1" w:styleId="Hyperlink1">
    <w:name w:val="Hyperlink.1"/>
    <w:basedOn w:val="Hyperlink"/>
    <w:rPr>
      <w:color w:val="000000"/>
      <w:u w:val="single" w:color="000000"/>
    </w:rPr>
  </w:style>
  <w:style w:type="paragraph" w:customStyle="1" w:styleId="Body">
    <w:name w:val="Body"/>
    <w:rPr>
      <w:rFonts w:eastAsia="Times New Roman"/>
      <w:color w:val="000000"/>
      <w:sz w:val="24"/>
      <w:szCs w:val="24"/>
      <w:u w:color="000000"/>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paragraph" w:styleId="BalloonText">
    <w:name w:val="Balloon Text"/>
    <w:basedOn w:val="Normal"/>
    <w:link w:val="BalloonTextChar"/>
    <w:uiPriority w:val="99"/>
    <w:semiHidden/>
    <w:unhideWhenUsed/>
    <w:rsid w:val="00A87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8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507">
      <w:bodyDiv w:val="1"/>
      <w:marLeft w:val="0"/>
      <w:marRight w:val="0"/>
      <w:marTop w:val="0"/>
      <w:marBottom w:val="0"/>
      <w:divBdr>
        <w:top w:val="none" w:sz="0" w:space="0" w:color="auto"/>
        <w:left w:val="none" w:sz="0" w:space="0" w:color="auto"/>
        <w:bottom w:val="none" w:sz="0" w:space="0" w:color="auto"/>
        <w:right w:val="none" w:sz="0" w:space="0" w:color="auto"/>
      </w:divBdr>
    </w:div>
    <w:div w:id="289559194">
      <w:bodyDiv w:val="1"/>
      <w:marLeft w:val="0"/>
      <w:marRight w:val="0"/>
      <w:marTop w:val="0"/>
      <w:marBottom w:val="0"/>
      <w:divBdr>
        <w:top w:val="none" w:sz="0" w:space="0" w:color="auto"/>
        <w:left w:val="none" w:sz="0" w:space="0" w:color="auto"/>
        <w:bottom w:val="none" w:sz="0" w:space="0" w:color="auto"/>
        <w:right w:val="none" w:sz="0" w:space="0" w:color="auto"/>
      </w:divBdr>
    </w:div>
    <w:div w:id="1512721907">
      <w:bodyDiv w:val="1"/>
      <w:marLeft w:val="0"/>
      <w:marRight w:val="0"/>
      <w:marTop w:val="0"/>
      <w:marBottom w:val="0"/>
      <w:divBdr>
        <w:top w:val="none" w:sz="0" w:space="0" w:color="auto"/>
        <w:left w:val="none" w:sz="0" w:space="0" w:color="auto"/>
        <w:bottom w:val="none" w:sz="0" w:space="0" w:color="auto"/>
        <w:right w:val="none" w:sz="0" w:space="0" w:color="auto"/>
      </w:divBdr>
    </w:div>
    <w:div w:id="2008941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7984</Words>
  <Characters>40320</Characters>
  <Application>Microsoft Macintosh Word</Application>
  <DocSecurity>0</DocSecurity>
  <Lines>1152</Lines>
  <Paragraphs>731</Paragraphs>
  <ScaleCrop>false</ScaleCrop>
  <Company>University of Haifa</Company>
  <LinksUpToDate>false</LinksUpToDate>
  <CharactersWithSpaces>47573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Ory Amitay</cp:lastModifiedBy>
  <cp:revision>16</cp:revision>
  <dcterms:created xsi:type="dcterms:W3CDTF">2014-02-17T15:59:00Z</dcterms:created>
  <dcterms:modified xsi:type="dcterms:W3CDTF">2014-02-25T08:42:00Z</dcterms:modified>
</cp:coreProperties>
</file>